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A7E3" w14:textId="77777777" w:rsidR="00D32F51" w:rsidRDefault="00D32F51" w:rsidP="00455E90">
      <w:pPr>
        <w:pStyle w:val="Quote"/>
      </w:pPr>
    </w:p>
    <w:p w14:paraId="7A39B260" w14:textId="59058C92" w:rsidR="00A15C2E" w:rsidRPr="005E7AEC" w:rsidRDefault="00A15C2E" w:rsidP="00455E90">
      <w:pPr>
        <w:pStyle w:val="Quote"/>
      </w:pPr>
      <w:r w:rsidRPr="005E7AEC">
        <w:t>Planning and Environment Act 1987</w:t>
      </w:r>
    </w:p>
    <w:p w14:paraId="127CFD92" w14:textId="1E26BB13" w:rsidR="00A15C2E" w:rsidRPr="00A15C2E" w:rsidRDefault="00973FB1" w:rsidP="00A15C2E">
      <w:pPr>
        <w:pStyle w:val="Heading1"/>
      </w:pPr>
      <w:r w:rsidRPr="00973FB1">
        <w:t xml:space="preserve">Yarra Ranges </w:t>
      </w:r>
      <w:r w:rsidR="00A15C2E" w:rsidRPr="00A15C2E">
        <w:t>Planning Scheme</w:t>
      </w:r>
    </w:p>
    <w:p w14:paraId="601884B5" w14:textId="6AD9E055" w:rsidR="00A15C2E" w:rsidRPr="007B5E05" w:rsidRDefault="00A15C2E" w:rsidP="00A15C2E">
      <w:pPr>
        <w:pStyle w:val="Heading1"/>
        <w:rPr>
          <w:color w:val="44546A" w:themeColor="text2"/>
        </w:rPr>
      </w:pPr>
      <w:r w:rsidRPr="00A15C2E">
        <w:t xml:space="preserve">Amendment </w:t>
      </w:r>
      <w:r w:rsidRPr="00973FB1">
        <w:t>C</w:t>
      </w:r>
      <w:r w:rsidR="00973FB1" w:rsidRPr="00973FB1">
        <w:t>226</w:t>
      </w:r>
      <w:r w:rsidR="00B923BD">
        <w:t>yran</w:t>
      </w:r>
    </w:p>
    <w:p w14:paraId="719D4304" w14:textId="77777777" w:rsidR="00A15C2E" w:rsidRPr="00A15C2E" w:rsidRDefault="00A15C2E" w:rsidP="00A15C2E">
      <w:pPr>
        <w:pStyle w:val="Heading1"/>
      </w:pPr>
      <w:r w:rsidRPr="00A15C2E">
        <w:t>Explanatory Report</w:t>
      </w:r>
    </w:p>
    <w:p w14:paraId="3920E2A5" w14:textId="77777777" w:rsidR="00A15C2E" w:rsidRPr="00A15C2E" w:rsidRDefault="00A15C2E" w:rsidP="00224E35">
      <w:pPr>
        <w:pStyle w:val="Heading2"/>
      </w:pPr>
      <w:r w:rsidRPr="00A15C2E">
        <w:t>Overview</w:t>
      </w:r>
    </w:p>
    <w:p w14:paraId="3DA3A6E3" w14:textId="4AE50A51" w:rsidR="00A15C2E" w:rsidRPr="00937E3A" w:rsidRDefault="00937E3A" w:rsidP="00E14B8E">
      <w:pPr>
        <w:jc w:val="both"/>
      </w:pPr>
      <w:r w:rsidRPr="00937E3A">
        <w:t xml:space="preserve">This amendment </w:t>
      </w:r>
      <w:r w:rsidR="00B14791">
        <w:t xml:space="preserve">proposes to apply </w:t>
      </w:r>
      <w:r w:rsidR="0031020B">
        <w:t xml:space="preserve">the </w:t>
      </w:r>
      <w:r w:rsidR="009F1D72">
        <w:t xml:space="preserve">Heritage Overlay </w:t>
      </w:r>
      <w:r w:rsidR="0031020B">
        <w:t>(</w:t>
      </w:r>
      <w:r w:rsidR="009F1D72">
        <w:t>HO444</w:t>
      </w:r>
      <w:r w:rsidR="0031020B">
        <w:t>)</w:t>
      </w:r>
      <w:r w:rsidR="009F1D72">
        <w:t xml:space="preserve"> </w:t>
      </w:r>
      <w:r w:rsidR="004C7766">
        <w:t xml:space="preserve">to </w:t>
      </w:r>
      <w:r>
        <w:t>131 Mangans Road, Lilydale</w:t>
      </w:r>
      <w:r w:rsidR="003F1467">
        <w:t xml:space="preserve"> </w:t>
      </w:r>
      <w:r w:rsidR="005B5584">
        <w:t xml:space="preserve">to </w:t>
      </w:r>
      <w:r>
        <w:t xml:space="preserve">protect the </w:t>
      </w:r>
      <w:r w:rsidR="00E12FB5">
        <w:t xml:space="preserve">heritage significance of the </w:t>
      </w:r>
      <w:r>
        <w:t>site’s buildings and</w:t>
      </w:r>
      <w:r w:rsidR="005B5584">
        <w:t xml:space="preserve"> identified</w:t>
      </w:r>
      <w:r>
        <w:t xml:space="preserve"> vegetation</w:t>
      </w:r>
      <w:r w:rsidR="005B5584">
        <w:t>.</w:t>
      </w:r>
    </w:p>
    <w:p w14:paraId="4A462F3A" w14:textId="77777777" w:rsidR="00A15C2E" w:rsidRPr="00A15C2E" w:rsidRDefault="00A15C2E" w:rsidP="00E14B8E">
      <w:pPr>
        <w:pStyle w:val="Heading3"/>
        <w:jc w:val="both"/>
      </w:pPr>
      <w:r w:rsidRPr="00A15C2E">
        <w:t>Where you may inspect this amendment</w:t>
      </w:r>
    </w:p>
    <w:p w14:paraId="4F7A04D7" w14:textId="6737AA41" w:rsidR="00937E3A" w:rsidRDefault="00A15C2E" w:rsidP="00E14B8E">
      <w:pPr>
        <w:jc w:val="both"/>
      </w:pPr>
      <w:r>
        <w:t xml:space="preserve">The amendment can be inspected free of charge at the </w:t>
      </w:r>
      <w:r w:rsidR="00D37031" w:rsidRPr="00D37031">
        <w:t xml:space="preserve">Yarra Ranges </w:t>
      </w:r>
      <w:r w:rsidR="00370C3C">
        <w:t xml:space="preserve">Shire </w:t>
      </w:r>
      <w:r w:rsidR="00D37031" w:rsidRPr="00D37031">
        <w:t xml:space="preserve">Council </w:t>
      </w:r>
      <w:r>
        <w:t xml:space="preserve">website at </w:t>
      </w:r>
      <w:hyperlink r:id="rId12" w:history="1">
        <w:r w:rsidR="00937E3A" w:rsidRPr="00BD625C">
          <w:rPr>
            <w:rStyle w:val="Hyperlink"/>
          </w:rPr>
          <w:t>www.yarraranges.vic.gov.au</w:t>
        </w:r>
      </w:hyperlink>
    </w:p>
    <w:p w14:paraId="568F0DDA" w14:textId="04B37549" w:rsidR="00A15C2E" w:rsidRPr="00BA149F" w:rsidRDefault="00A15C2E" w:rsidP="00E14B8E">
      <w:pPr>
        <w:jc w:val="both"/>
      </w:pPr>
      <w:r w:rsidRPr="00BA149F">
        <w:t>And</w:t>
      </w:r>
    </w:p>
    <w:p w14:paraId="49134108" w14:textId="77777777" w:rsidR="00A15C2E" w:rsidRDefault="00A15C2E" w:rsidP="00E14B8E">
      <w:pPr>
        <w:jc w:val="both"/>
      </w:pPr>
      <w:r>
        <w:t>The amendment is available for public inspection, free of charge, during office hours at the following places:</w:t>
      </w:r>
    </w:p>
    <w:p w14:paraId="5D0D89CD" w14:textId="78440F40" w:rsidR="00D37031" w:rsidRPr="00D37031" w:rsidRDefault="00D37031" w:rsidP="00E14B8E">
      <w:pPr>
        <w:jc w:val="both"/>
      </w:pPr>
      <w:r w:rsidRPr="00D37031">
        <w:t>Yarra Ranges Community Link Centres</w:t>
      </w:r>
    </w:p>
    <w:p w14:paraId="6B6C77FA" w14:textId="77777777" w:rsidR="00D37031" w:rsidRPr="00D37031" w:rsidRDefault="00D37031" w:rsidP="00E14B8E">
      <w:pPr>
        <w:jc w:val="both"/>
      </w:pPr>
      <w:r w:rsidRPr="00D37031">
        <w:t>•</w:t>
      </w:r>
      <w:r w:rsidRPr="00D37031">
        <w:tab/>
        <w:t>Lilydale – 15 Anderson Street, Lilydale</w:t>
      </w:r>
    </w:p>
    <w:p w14:paraId="3B43B159" w14:textId="77777777" w:rsidR="00D37031" w:rsidRPr="00D37031" w:rsidRDefault="00D37031" w:rsidP="00E14B8E">
      <w:pPr>
        <w:jc w:val="both"/>
      </w:pPr>
      <w:r w:rsidRPr="00D37031">
        <w:t>•</w:t>
      </w:r>
      <w:r w:rsidRPr="00D37031">
        <w:tab/>
        <w:t>Monbulk – 21 Main Road, Monbulk</w:t>
      </w:r>
    </w:p>
    <w:p w14:paraId="2EF7832B" w14:textId="77777777" w:rsidR="00D37031" w:rsidRPr="00D37031" w:rsidRDefault="00D37031" w:rsidP="00E14B8E">
      <w:pPr>
        <w:jc w:val="both"/>
      </w:pPr>
      <w:r w:rsidRPr="00D37031">
        <w:t>•</w:t>
      </w:r>
      <w:r w:rsidRPr="00D37031">
        <w:tab/>
        <w:t>Healesville – 110 River Street, Healesville</w:t>
      </w:r>
    </w:p>
    <w:p w14:paraId="686FC84F" w14:textId="77777777" w:rsidR="00D37031" w:rsidRPr="00D37031" w:rsidRDefault="00D37031" w:rsidP="00E14B8E">
      <w:pPr>
        <w:jc w:val="both"/>
      </w:pPr>
      <w:r w:rsidRPr="00D37031">
        <w:t>•</w:t>
      </w:r>
      <w:r w:rsidRPr="00D37031">
        <w:tab/>
        <w:t>Upwey – 40 Main Street, Upwey</w:t>
      </w:r>
    </w:p>
    <w:p w14:paraId="236467AD" w14:textId="77777777" w:rsidR="00D37031" w:rsidRPr="00D37031" w:rsidRDefault="00D37031" w:rsidP="00E14B8E">
      <w:pPr>
        <w:jc w:val="both"/>
      </w:pPr>
      <w:r w:rsidRPr="00D37031">
        <w:t>•</w:t>
      </w:r>
      <w:r w:rsidRPr="00D37031">
        <w:tab/>
        <w:t>Yarra Junction – 2442-2444 Warburton Hwy, Yarra Junction</w:t>
      </w:r>
    </w:p>
    <w:p w14:paraId="55FFB084" w14:textId="77777777" w:rsidR="008627A9" w:rsidRDefault="008627A9" w:rsidP="00E14B8E">
      <w:pPr>
        <w:jc w:val="both"/>
      </w:pPr>
    </w:p>
    <w:p w14:paraId="5DEA1DAE" w14:textId="30F8DB3E" w:rsidR="00D37031" w:rsidRPr="00D37031" w:rsidRDefault="00D37031" w:rsidP="00E14B8E">
      <w:pPr>
        <w:jc w:val="both"/>
      </w:pPr>
      <w:r w:rsidRPr="00D37031">
        <w:t xml:space="preserve">The Monbulk, Healesville, Upwey and Yarra Junction Community Links are open from 9.00am to 5.00pm Monday to Friday. </w:t>
      </w:r>
    </w:p>
    <w:p w14:paraId="02B2B73D" w14:textId="79818123" w:rsidR="00A15C2E" w:rsidRPr="00D37031" w:rsidRDefault="00D37031" w:rsidP="00E14B8E">
      <w:pPr>
        <w:jc w:val="both"/>
      </w:pPr>
      <w:r w:rsidRPr="00D37031">
        <w:t>The Lilydale Community Link is open from 8.30am to 5.00pm Monday to Friday and from 9.00am to 12 midday on Saturday.</w:t>
      </w:r>
    </w:p>
    <w:p w14:paraId="1D2C3EC8" w14:textId="77777777" w:rsidR="00A15C2E" w:rsidRDefault="00A15C2E" w:rsidP="00E14B8E">
      <w:pPr>
        <w:jc w:val="both"/>
      </w:pPr>
      <w:r>
        <w:t xml:space="preserve">The amendment can also be inspected free of charge at the Department of Transport and Planning website at </w:t>
      </w:r>
      <w:hyperlink r:id="rId13" w:history="1">
        <w:r w:rsidR="00B5427B" w:rsidRPr="000C0726">
          <w:rPr>
            <w:rStyle w:val="Hyperlink"/>
          </w:rPr>
          <w:t>http://www.planning.vic.gov.au/public-inspection</w:t>
        </w:r>
      </w:hyperlink>
      <w:r w:rsidR="00B5427B">
        <w:t xml:space="preserve"> </w:t>
      </w:r>
      <w:r>
        <w:t>or by contacting the office on 1800 789 386 to arrange a time to view the amendment documentation.</w:t>
      </w:r>
    </w:p>
    <w:p w14:paraId="67F3520C" w14:textId="77777777" w:rsidR="008627A9" w:rsidRDefault="008627A9" w:rsidP="00E14B8E">
      <w:pPr>
        <w:pStyle w:val="Heading3"/>
        <w:jc w:val="both"/>
      </w:pPr>
    </w:p>
    <w:p w14:paraId="265D3FD5" w14:textId="4D238D5F" w:rsidR="00A15C2E" w:rsidRDefault="00A15C2E" w:rsidP="00E14B8E">
      <w:pPr>
        <w:pStyle w:val="Heading3"/>
        <w:jc w:val="both"/>
      </w:pPr>
      <w:r>
        <w:t>Submissions</w:t>
      </w:r>
    </w:p>
    <w:p w14:paraId="1695666D" w14:textId="03023B0E" w:rsidR="00546F39" w:rsidRDefault="00A15C2E" w:rsidP="00E14B8E">
      <w:pPr>
        <w:jc w:val="both"/>
      </w:pPr>
      <w:r>
        <w:t>Any person may make a submission to the planning authority about the amendment</w:t>
      </w:r>
      <w:r w:rsidRPr="00546F39">
        <w:rPr>
          <w:color w:val="538135" w:themeColor="accent6" w:themeShade="BF"/>
        </w:rPr>
        <w:t xml:space="preserve">. </w:t>
      </w:r>
      <w:r>
        <w:t xml:space="preserve">Submissions about the amendment must be received by </w:t>
      </w:r>
      <w:r w:rsidR="00AD6161" w:rsidRPr="008627A9">
        <w:rPr>
          <w:b/>
          <w:bCs/>
        </w:rPr>
        <w:t>Monday, 1 December 2025</w:t>
      </w:r>
      <w:r w:rsidR="001A026A">
        <w:t>.</w:t>
      </w:r>
    </w:p>
    <w:p w14:paraId="7C8715F2" w14:textId="40E0AC55" w:rsidR="00A15C2E" w:rsidRPr="00460732" w:rsidRDefault="00A15C2E" w:rsidP="00E14B8E">
      <w:pPr>
        <w:jc w:val="both"/>
        <w:rPr>
          <w:rFonts w:cs="Arial"/>
          <w:szCs w:val="24"/>
        </w:rPr>
      </w:pPr>
      <w:r>
        <w:t xml:space="preserve">A submission must be sent to: </w:t>
      </w:r>
      <w:r w:rsidR="001A026A">
        <w:t xml:space="preserve">Design and Place, </w:t>
      </w:r>
      <w:r w:rsidR="001A026A" w:rsidRPr="001A026A">
        <w:t>Yarra Ranges Council</w:t>
      </w:r>
      <w:r w:rsidR="001A026A">
        <w:t>,</w:t>
      </w:r>
      <w:r w:rsidR="001A026A" w:rsidRPr="001A026A">
        <w:t xml:space="preserve"> </w:t>
      </w:r>
      <w:r w:rsidR="001A026A" w:rsidRPr="001A026A">
        <w:rPr>
          <w:rFonts w:cs="Arial"/>
          <w:szCs w:val="24"/>
        </w:rPr>
        <w:t xml:space="preserve">PO Box 105 Lilydale VIC 3140, or at </w:t>
      </w:r>
      <w:hyperlink r:id="rId14" w:history="1">
        <w:r w:rsidR="001A026A" w:rsidRPr="001A026A">
          <w:rPr>
            <w:rStyle w:val="Hyperlink"/>
            <w:rFonts w:cs="Arial"/>
            <w:szCs w:val="24"/>
          </w:rPr>
          <w:t>mail@yarraranges.vic.gov.au</w:t>
        </w:r>
      </w:hyperlink>
      <w:r w:rsidR="001A026A" w:rsidRPr="001A026A">
        <w:rPr>
          <w:rFonts w:cs="Arial"/>
          <w:szCs w:val="24"/>
        </w:rPr>
        <w:t>.</w:t>
      </w:r>
    </w:p>
    <w:p w14:paraId="6561E783" w14:textId="77777777" w:rsidR="00A15C2E" w:rsidRDefault="00A15C2E" w:rsidP="00E14B8E">
      <w:pPr>
        <w:pStyle w:val="Heading3"/>
        <w:jc w:val="both"/>
      </w:pPr>
      <w:r>
        <w:t>Panel hearing dates</w:t>
      </w:r>
    </w:p>
    <w:p w14:paraId="060AB3CE" w14:textId="77777777" w:rsidR="00A15C2E" w:rsidRDefault="00A15C2E" w:rsidP="00E14B8E">
      <w:pPr>
        <w:jc w:val="both"/>
      </w:pPr>
      <w:r>
        <w:t>In accordance with clause 4(2) of Ministerial Direction No.15 the following panel hearing dates have been set for this amendment:</w:t>
      </w:r>
    </w:p>
    <w:p w14:paraId="63A095B7" w14:textId="1EEE9204" w:rsidR="00A15C2E" w:rsidRPr="005871BF" w:rsidRDefault="00546F39" w:rsidP="00E14B8E">
      <w:pPr>
        <w:pStyle w:val="Bulletlist"/>
        <w:jc w:val="both"/>
      </w:pPr>
      <w:r w:rsidRPr="005871BF">
        <w:t>D</w:t>
      </w:r>
      <w:r w:rsidR="00A15C2E" w:rsidRPr="005871BF">
        <w:t xml:space="preserve">irections hearing: </w:t>
      </w:r>
      <w:r w:rsidR="005871BF" w:rsidRPr="005871BF">
        <w:t>16 March 2026</w:t>
      </w:r>
    </w:p>
    <w:p w14:paraId="6876E39F" w14:textId="53272EE7" w:rsidR="00E93AF6" w:rsidRPr="005871BF" w:rsidRDefault="00546F39" w:rsidP="00E14B8E">
      <w:pPr>
        <w:pStyle w:val="Bulletlist"/>
        <w:jc w:val="both"/>
      </w:pPr>
      <w:r w:rsidRPr="005871BF">
        <w:t>P</w:t>
      </w:r>
      <w:r w:rsidR="00A15C2E" w:rsidRPr="005871BF">
        <w:t xml:space="preserve">anel hearing: </w:t>
      </w:r>
      <w:r w:rsidR="005871BF">
        <w:t>27 April 2026</w:t>
      </w:r>
    </w:p>
    <w:p w14:paraId="659921EF" w14:textId="77777777" w:rsidR="00A15C2E" w:rsidRDefault="00A15C2E" w:rsidP="00E14B8E">
      <w:pPr>
        <w:pStyle w:val="Heading2"/>
        <w:jc w:val="both"/>
      </w:pPr>
      <w:r>
        <w:t>Details of the amendment</w:t>
      </w:r>
    </w:p>
    <w:p w14:paraId="3EB7B06E" w14:textId="77777777" w:rsidR="00A15C2E" w:rsidRDefault="00A15C2E" w:rsidP="00E14B8E">
      <w:pPr>
        <w:pStyle w:val="Heading3"/>
        <w:jc w:val="both"/>
      </w:pPr>
      <w:r>
        <w:t>Who is the planning authority?</w:t>
      </w:r>
    </w:p>
    <w:p w14:paraId="7AD4188E" w14:textId="7FE993DE" w:rsidR="00A15C2E" w:rsidRDefault="00A15C2E" w:rsidP="00E14B8E">
      <w:pPr>
        <w:jc w:val="both"/>
      </w:pPr>
      <w:r>
        <w:t xml:space="preserve">This amendment has been prepared by </w:t>
      </w:r>
      <w:r w:rsidR="00542448">
        <w:t>Yarra Ranges Shire Council</w:t>
      </w:r>
      <w:r w:rsidR="00DE6DCB">
        <w:t>.</w:t>
      </w:r>
      <w:r w:rsidR="00542448">
        <w:t xml:space="preserve"> </w:t>
      </w:r>
    </w:p>
    <w:p w14:paraId="35BEF9A5" w14:textId="77777777" w:rsidR="00A15C2E" w:rsidRDefault="00A15C2E" w:rsidP="00E14B8E">
      <w:pPr>
        <w:pStyle w:val="Heading3"/>
        <w:jc w:val="both"/>
      </w:pPr>
      <w:r>
        <w:t>Land affected by the amendment</w:t>
      </w:r>
    </w:p>
    <w:p w14:paraId="6CAFDEAF" w14:textId="26FA21CC" w:rsidR="00E06B0A" w:rsidRDefault="00A15C2E" w:rsidP="00E14B8E">
      <w:pPr>
        <w:jc w:val="both"/>
      </w:pPr>
      <w:r>
        <w:t xml:space="preserve">The amendment applies to </w:t>
      </w:r>
      <w:r w:rsidR="00370C3C">
        <w:t xml:space="preserve">land at </w:t>
      </w:r>
      <w:r w:rsidR="001A026A">
        <w:t xml:space="preserve">131 Mangans Road, Lilydale. </w:t>
      </w:r>
    </w:p>
    <w:p w14:paraId="17B69FAB" w14:textId="076C04A0" w:rsidR="00E06B0A" w:rsidRDefault="00EF4C72" w:rsidP="00E14B8E">
      <w:pPr>
        <w:jc w:val="both"/>
        <w:rPr>
          <w:color w:val="44546A" w:themeColor="text2"/>
        </w:rPr>
      </w:pPr>
      <w:r w:rsidRPr="00EF4C72">
        <w:rPr>
          <w:noProof/>
          <w:color w:val="44546A" w:themeColor="text2"/>
        </w:rPr>
        <w:drawing>
          <wp:inline distT="0" distB="0" distL="0" distR="0" wp14:anchorId="55FA226D" wp14:editId="78078131">
            <wp:extent cx="3162463" cy="3016405"/>
            <wp:effectExtent l="0" t="0" r="0" b="0"/>
            <wp:docPr id="146135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54527" name=""/>
                    <pic:cNvPicPr/>
                  </pic:nvPicPr>
                  <pic:blipFill>
                    <a:blip r:embed="rId15"/>
                    <a:stretch>
                      <a:fillRect/>
                    </a:stretch>
                  </pic:blipFill>
                  <pic:spPr>
                    <a:xfrm>
                      <a:off x="0" y="0"/>
                      <a:ext cx="3162463" cy="3016405"/>
                    </a:xfrm>
                    <a:prstGeom prst="rect">
                      <a:avLst/>
                    </a:prstGeom>
                  </pic:spPr>
                </pic:pic>
              </a:graphicData>
            </a:graphic>
          </wp:inline>
        </w:drawing>
      </w:r>
    </w:p>
    <w:p w14:paraId="7C85A5D6" w14:textId="77777777" w:rsidR="00EF4C72" w:rsidRDefault="00EF4C72" w:rsidP="00E14B8E">
      <w:pPr>
        <w:jc w:val="both"/>
        <w:rPr>
          <w:color w:val="44546A" w:themeColor="text2"/>
        </w:rPr>
      </w:pPr>
    </w:p>
    <w:p w14:paraId="4610C3CF" w14:textId="636504E3" w:rsidR="00A15C2E" w:rsidRDefault="00A15C2E" w:rsidP="00E14B8E">
      <w:pPr>
        <w:jc w:val="both"/>
      </w:pPr>
      <w:r>
        <w:t xml:space="preserve">A mapping reference table is </w:t>
      </w:r>
      <w:r w:rsidRPr="001600F0">
        <w:t xml:space="preserve">at Attachment </w:t>
      </w:r>
      <w:r w:rsidR="001600F0" w:rsidRPr="001600F0">
        <w:t>1</w:t>
      </w:r>
      <w:r w:rsidRPr="001600F0">
        <w:t xml:space="preserve"> to this </w:t>
      </w:r>
      <w:r>
        <w:t>Explanatory Report.</w:t>
      </w:r>
    </w:p>
    <w:p w14:paraId="210AD7DF" w14:textId="77777777" w:rsidR="00A15C2E" w:rsidRDefault="00A15C2E" w:rsidP="00E14B8E">
      <w:pPr>
        <w:pStyle w:val="Heading3"/>
        <w:jc w:val="both"/>
      </w:pPr>
      <w:r>
        <w:lastRenderedPageBreak/>
        <w:t>What the amendment does</w:t>
      </w:r>
    </w:p>
    <w:p w14:paraId="46674B4D" w14:textId="357975E5" w:rsidR="00EF4C72" w:rsidRDefault="00EF4C72" w:rsidP="00DC16AD">
      <w:pPr>
        <w:pStyle w:val="ListParagraph"/>
        <w:numPr>
          <w:ilvl w:val="0"/>
          <w:numId w:val="22"/>
        </w:numPr>
        <w:ind w:left="426" w:hanging="426"/>
        <w:jc w:val="both"/>
      </w:pPr>
      <w:r>
        <w:t xml:space="preserve">Amends </w:t>
      </w:r>
      <w:r w:rsidR="00C06C96">
        <w:t xml:space="preserve">Planning Scheme </w:t>
      </w:r>
      <w:r>
        <w:t>Map No</w:t>
      </w:r>
      <w:r w:rsidR="00C06C96">
        <w:t>.</w:t>
      </w:r>
      <w:r w:rsidR="008627A9">
        <w:t xml:space="preserve"> </w:t>
      </w:r>
      <w:r w:rsidR="00C06C96">
        <w:t>HO</w:t>
      </w:r>
      <w:r>
        <w:t>41 to apply the Heritage Overlay (HO444) to</w:t>
      </w:r>
      <w:r w:rsidR="00C06C96">
        <w:t xml:space="preserve"> land at</w:t>
      </w:r>
      <w:r>
        <w:t xml:space="preserve"> 131 Mangans Road, Lilydale.</w:t>
      </w:r>
    </w:p>
    <w:p w14:paraId="216DC668" w14:textId="5E5F4E83" w:rsidR="00EF4C72" w:rsidRDefault="00EF4C72" w:rsidP="00DC16AD">
      <w:pPr>
        <w:pStyle w:val="ListParagraph"/>
        <w:numPr>
          <w:ilvl w:val="0"/>
          <w:numId w:val="22"/>
        </w:numPr>
        <w:ind w:left="426" w:hanging="426"/>
        <w:jc w:val="both"/>
      </w:pPr>
      <w:r>
        <w:t xml:space="preserve">Amends the Schedule to Clause 43.01 (Heritage Overlay) to include HO444 and specifies </w:t>
      </w:r>
      <w:r w:rsidR="008070AC">
        <w:t xml:space="preserve">relevant </w:t>
      </w:r>
      <w:r>
        <w:t>permit requirement</w:t>
      </w:r>
      <w:r w:rsidR="008070AC">
        <w:t>s</w:t>
      </w:r>
      <w:r w:rsidR="00B8275C">
        <w:t>.</w:t>
      </w:r>
    </w:p>
    <w:p w14:paraId="0B1A9A3C" w14:textId="4A439402" w:rsidR="00EF4C72" w:rsidRDefault="00EF4C72" w:rsidP="00DC16AD">
      <w:pPr>
        <w:pStyle w:val="ListParagraph"/>
        <w:numPr>
          <w:ilvl w:val="0"/>
          <w:numId w:val="22"/>
        </w:numPr>
        <w:ind w:left="426" w:hanging="426"/>
        <w:jc w:val="both"/>
      </w:pPr>
      <w:r>
        <w:t xml:space="preserve">Amends the </w:t>
      </w:r>
      <w:r w:rsidR="00C06C96">
        <w:t xml:space="preserve">Schedule </w:t>
      </w:r>
      <w:r>
        <w:t>to Clause 72.04 (</w:t>
      </w:r>
      <w:r w:rsidR="000302ED">
        <w:t>Incorporated Documents</w:t>
      </w:r>
      <w:r>
        <w:t xml:space="preserve">) to incorporate </w:t>
      </w:r>
      <w:r w:rsidR="009B20AB">
        <w:rPr>
          <w:i/>
        </w:rPr>
        <w:t xml:space="preserve">Coldstream Hill, 131 Mangans Road, Lilydale – Statement of Significance </w:t>
      </w:r>
      <w:r w:rsidR="009B20AB" w:rsidRPr="008036E1">
        <w:t xml:space="preserve">(Yarra Ranges Shire Council, </w:t>
      </w:r>
      <w:r w:rsidR="00682370">
        <w:t xml:space="preserve">September </w:t>
      </w:r>
      <w:r w:rsidR="00134D2E">
        <w:t>2025</w:t>
      </w:r>
      <w:r w:rsidR="009B20AB" w:rsidRPr="008036E1">
        <w:t>)</w:t>
      </w:r>
      <w:r w:rsidRPr="00F43362">
        <w:t>.</w:t>
      </w:r>
    </w:p>
    <w:p w14:paraId="3C3F5360" w14:textId="42CB7647" w:rsidR="00EF4C72" w:rsidRDefault="00EF4C72" w:rsidP="00DC16AD">
      <w:pPr>
        <w:pStyle w:val="ListParagraph"/>
        <w:numPr>
          <w:ilvl w:val="0"/>
          <w:numId w:val="22"/>
        </w:numPr>
        <w:ind w:left="426" w:hanging="426"/>
        <w:jc w:val="both"/>
      </w:pPr>
      <w:r>
        <w:t xml:space="preserve">Amends the Schedule to Clause 72.08 (Background Documents) to </w:t>
      </w:r>
      <w:r w:rsidR="00E8676F">
        <w:t xml:space="preserve">include </w:t>
      </w:r>
      <w:r>
        <w:t xml:space="preserve">the </w:t>
      </w:r>
      <w:r w:rsidRPr="008036E1">
        <w:rPr>
          <w:i/>
        </w:rPr>
        <w:t xml:space="preserve">Heritage Citation – Individual Place </w:t>
      </w:r>
      <w:r w:rsidR="00153070">
        <w:rPr>
          <w:i/>
        </w:rPr>
        <w:t>–</w:t>
      </w:r>
      <w:r w:rsidR="00153070" w:rsidRPr="008036E1">
        <w:rPr>
          <w:i/>
        </w:rPr>
        <w:t xml:space="preserve"> </w:t>
      </w:r>
      <w:r w:rsidRPr="008036E1">
        <w:rPr>
          <w:i/>
        </w:rPr>
        <w:t>Coldstream Hill, 131 Mangans Road, Lilydale</w:t>
      </w:r>
      <w:r w:rsidR="00235D80">
        <w:rPr>
          <w:i/>
        </w:rPr>
        <w:t xml:space="preserve"> </w:t>
      </w:r>
      <w:r w:rsidR="00F43362">
        <w:t>(Extent Heritage</w:t>
      </w:r>
      <w:r w:rsidR="00153070">
        <w:t xml:space="preserve"> Pty Ltd</w:t>
      </w:r>
      <w:r w:rsidR="00F43362">
        <w:t xml:space="preserve">, </w:t>
      </w:r>
      <w:r w:rsidR="00682370">
        <w:t xml:space="preserve">September </w:t>
      </w:r>
      <w:r w:rsidR="00134D2E">
        <w:t>2025</w:t>
      </w:r>
      <w:r w:rsidR="00F43362">
        <w:t>)</w:t>
      </w:r>
      <w:r>
        <w:t xml:space="preserve"> as a background document.</w:t>
      </w:r>
    </w:p>
    <w:p w14:paraId="020F605D" w14:textId="77777777" w:rsidR="00A15C2E" w:rsidRPr="00224E35" w:rsidRDefault="00A15C2E" w:rsidP="00E14B8E">
      <w:pPr>
        <w:pStyle w:val="Heading2"/>
        <w:jc w:val="both"/>
      </w:pPr>
      <w:r w:rsidRPr="00224E35">
        <w:t>Strategic assessment of the amendment</w:t>
      </w:r>
    </w:p>
    <w:p w14:paraId="7F027D5B" w14:textId="77777777" w:rsidR="00A15C2E" w:rsidRPr="003A4991" w:rsidRDefault="00A15C2E" w:rsidP="00E14B8E">
      <w:pPr>
        <w:pStyle w:val="Heading3"/>
        <w:jc w:val="both"/>
      </w:pPr>
      <w:r w:rsidRPr="003A4991">
        <w:t>Why is the amendment required?</w:t>
      </w:r>
    </w:p>
    <w:p w14:paraId="73436E2E" w14:textId="7980ADDA" w:rsidR="00D36941" w:rsidRDefault="006F28DB" w:rsidP="00E14B8E">
      <w:pPr>
        <w:jc w:val="both"/>
        <w:rPr>
          <w:i/>
          <w:spacing w:val="-2"/>
          <w:szCs w:val="24"/>
        </w:rPr>
      </w:pPr>
      <w:r w:rsidRPr="00105B3B">
        <w:rPr>
          <w:szCs w:val="24"/>
        </w:rPr>
        <w:t>The amendment</w:t>
      </w:r>
      <w:r w:rsidR="00F804E0" w:rsidRPr="00105B3B">
        <w:rPr>
          <w:szCs w:val="24"/>
        </w:rPr>
        <w:t xml:space="preserve"> seeks to apply the Heritage Overlay (HO) on a permanent basis to </w:t>
      </w:r>
      <w:r w:rsidR="003F51C0" w:rsidRPr="00105B3B">
        <w:rPr>
          <w:szCs w:val="24"/>
        </w:rPr>
        <w:t>131 Mangans Road, Lilydale</w:t>
      </w:r>
      <w:r w:rsidR="00251D03">
        <w:rPr>
          <w:szCs w:val="24"/>
        </w:rPr>
        <w:t xml:space="preserve"> (also known as Coldstream H</w:t>
      </w:r>
      <w:r w:rsidR="007B7F19">
        <w:rPr>
          <w:szCs w:val="24"/>
        </w:rPr>
        <w:t>ill)</w:t>
      </w:r>
      <w:r w:rsidR="006D5D34" w:rsidRPr="00105B3B">
        <w:rPr>
          <w:szCs w:val="24"/>
        </w:rPr>
        <w:t xml:space="preserve"> to implement </w:t>
      </w:r>
      <w:r w:rsidR="000D20F9" w:rsidRPr="00105B3B">
        <w:rPr>
          <w:szCs w:val="24"/>
        </w:rPr>
        <w:t>the recommendation</w:t>
      </w:r>
      <w:r w:rsidR="0043163C">
        <w:rPr>
          <w:szCs w:val="24"/>
        </w:rPr>
        <w:t>s</w:t>
      </w:r>
      <w:r w:rsidR="000D20F9" w:rsidRPr="00105B3B">
        <w:rPr>
          <w:szCs w:val="24"/>
        </w:rPr>
        <w:t xml:space="preserve"> of </w:t>
      </w:r>
      <w:r w:rsidR="0043163C">
        <w:rPr>
          <w:szCs w:val="24"/>
        </w:rPr>
        <w:t>the</w:t>
      </w:r>
      <w:r w:rsidR="002A1E6F">
        <w:rPr>
          <w:szCs w:val="24"/>
        </w:rPr>
        <w:t xml:space="preserve"> </w:t>
      </w:r>
      <w:r w:rsidR="002A1E6F" w:rsidRPr="00A3110C">
        <w:rPr>
          <w:i/>
          <w:iCs/>
          <w:szCs w:val="24"/>
        </w:rPr>
        <w:t xml:space="preserve">Heritage Citation – Individual Place </w:t>
      </w:r>
      <w:r w:rsidR="001975A1" w:rsidRPr="00A3110C">
        <w:rPr>
          <w:i/>
          <w:iCs/>
          <w:szCs w:val="24"/>
        </w:rPr>
        <w:t>– Coldstream Hill</w:t>
      </w:r>
      <w:r w:rsidR="00621A77" w:rsidRPr="00A3110C">
        <w:rPr>
          <w:i/>
          <w:iCs/>
          <w:szCs w:val="24"/>
        </w:rPr>
        <w:t>, 131 Ma</w:t>
      </w:r>
      <w:r w:rsidR="00FC4EEC">
        <w:rPr>
          <w:i/>
          <w:iCs/>
          <w:szCs w:val="24"/>
        </w:rPr>
        <w:t>ngans Road</w:t>
      </w:r>
      <w:r w:rsidR="00A3110C" w:rsidRPr="00A3110C">
        <w:rPr>
          <w:i/>
          <w:iCs/>
          <w:szCs w:val="24"/>
        </w:rPr>
        <w:t>, Lilydale</w:t>
      </w:r>
      <w:r w:rsidR="00A3110C">
        <w:rPr>
          <w:i/>
          <w:iCs/>
          <w:szCs w:val="24"/>
        </w:rPr>
        <w:t xml:space="preserve"> </w:t>
      </w:r>
      <w:r w:rsidR="00357890">
        <w:rPr>
          <w:szCs w:val="24"/>
        </w:rPr>
        <w:t xml:space="preserve">(Extent Heritage Pty Ltd, </w:t>
      </w:r>
      <w:r w:rsidR="00682370">
        <w:t xml:space="preserve">September </w:t>
      </w:r>
      <w:r w:rsidR="00A22995">
        <w:rPr>
          <w:szCs w:val="24"/>
        </w:rPr>
        <w:t>2025</w:t>
      </w:r>
      <w:r w:rsidR="00357890">
        <w:rPr>
          <w:szCs w:val="24"/>
        </w:rPr>
        <w:t>) and</w:t>
      </w:r>
      <w:r w:rsidR="000B34F9">
        <w:rPr>
          <w:szCs w:val="24"/>
        </w:rPr>
        <w:t xml:space="preserve"> the </w:t>
      </w:r>
      <w:r w:rsidR="00105B3B" w:rsidRPr="00105B3B">
        <w:rPr>
          <w:i/>
          <w:szCs w:val="24"/>
        </w:rPr>
        <w:t>Stage 1a Lilydale Main Street Heritage</w:t>
      </w:r>
      <w:r w:rsidR="00105B3B" w:rsidRPr="00105B3B">
        <w:rPr>
          <w:i/>
          <w:spacing w:val="-1"/>
          <w:szCs w:val="24"/>
        </w:rPr>
        <w:t xml:space="preserve"> </w:t>
      </w:r>
      <w:r w:rsidR="00105B3B" w:rsidRPr="00105B3B">
        <w:rPr>
          <w:i/>
          <w:szCs w:val="24"/>
        </w:rPr>
        <w:t>Review Gap Study (Trevor Westmore</w:t>
      </w:r>
      <w:r w:rsidR="00105B3B" w:rsidRPr="00105B3B">
        <w:rPr>
          <w:i/>
          <w:spacing w:val="-1"/>
          <w:szCs w:val="24"/>
        </w:rPr>
        <w:t xml:space="preserve"> </w:t>
      </w:r>
      <w:r w:rsidR="00105B3B" w:rsidRPr="00105B3B">
        <w:rPr>
          <w:i/>
          <w:szCs w:val="24"/>
        </w:rPr>
        <w:t xml:space="preserve">Urban Design and Heritage Conservation, </w:t>
      </w:r>
      <w:r w:rsidR="00105B3B" w:rsidRPr="00105B3B">
        <w:rPr>
          <w:i/>
          <w:spacing w:val="-2"/>
          <w:szCs w:val="24"/>
        </w:rPr>
        <w:t>2019)</w:t>
      </w:r>
      <w:r w:rsidR="00A3110C">
        <w:rPr>
          <w:i/>
          <w:spacing w:val="-2"/>
          <w:szCs w:val="24"/>
        </w:rPr>
        <w:t>.</w:t>
      </w:r>
      <w:r w:rsidR="000B34F9">
        <w:rPr>
          <w:i/>
          <w:spacing w:val="-2"/>
          <w:szCs w:val="24"/>
        </w:rPr>
        <w:t xml:space="preserve"> </w:t>
      </w:r>
    </w:p>
    <w:p w14:paraId="14C32AED" w14:textId="791FA7E0" w:rsidR="009670E8" w:rsidRDefault="0031020B" w:rsidP="009670E8">
      <w:pPr>
        <w:jc w:val="both"/>
      </w:pPr>
      <w:r w:rsidRPr="0031020B">
        <w:t xml:space="preserve">The need for these studies emerged during the development of the </w:t>
      </w:r>
      <w:r w:rsidRPr="008627A9">
        <w:rPr>
          <w:i/>
          <w:iCs/>
        </w:rPr>
        <w:t>Lilydale Structure Plan</w:t>
      </w:r>
      <w:r w:rsidRPr="0031020B">
        <w:t xml:space="preserve">. In 2020, the </w:t>
      </w:r>
      <w:r>
        <w:rPr>
          <w:i/>
          <w:iCs/>
        </w:rPr>
        <w:t xml:space="preserve">Lilydale Structure Plan </w:t>
      </w:r>
      <w:r w:rsidRPr="008627A9">
        <w:rPr>
          <w:i/>
          <w:iCs/>
        </w:rPr>
        <w:t>Issues and Opportunities Paper</w:t>
      </w:r>
      <w:r w:rsidRPr="0031020B">
        <w:t xml:space="preserve"> was released for public consultation, inviting community feedback on properties in Lilydale that were considered to have potential heritage significance but were not yet protected by a Heritage Overlay.</w:t>
      </w:r>
      <w:r>
        <w:t xml:space="preserve"> </w:t>
      </w:r>
      <w:r w:rsidR="009670E8">
        <w:t xml:space="preserve">The analysis of the property has been prepared in accordance with the </w:t>
      </w:r>
      <w:r w:rsidR="009670E8" w:rsidRPr="008036E1">
        <w:rPr>
          <w:i/>
        </w:rPr>
        <w:t>‘Heritage Victoria Heritage Overlay Guidelines, 2007’, the ‘Australia ICOMOS Charter for Places of Cultural Heritage Significance (the Burra Charter)’</w:t>
      </w:r>
      <w:r w:rsidR="009670E8">
        <w:t xml:space="preserve"> and </w:t>
      </w:r>
      <w:r w:rsidR="009670E8" w:rsidRPr="008036E1">
        <w:rPr>
          <w:i/>
        </w:rPr>
        <w:t>‘Planning Practice Note 01 – Applying the Heritage Overlay, August 2018’.</w:t>
      </w:r>
      <w:r w:rsidR="009670E8">
        <w:t xml:space="preserve"> The place</w:t>
      </w:r>
      <w:r w:rsidR="007F482F">
        <w:t xml:space="preserve"> </w:t>
      </w:r>
      <w:r w:rsidR="009670E8">
        <w:t>meet</w:t>
      </w:r>
      <w:r w:rsidR="007F482F">
        <w:t>s</w:t>
      </w:r>
      <w:r w:rsidR="009670E8">
        <w:t xml:space="preserve"> the requirements and threshold for local protection through the HO.</w:t>
      </w:r>
    </w:p>
    <w:p w14:paraId="2CECC902" w14:textId="4D1F459E" w:rsidR="006D7942" w:rsidRDefault="0031020B" w:rsidP="008627A9">
      <w:pPr>
        <w:pStyle w:val="Bulletlist"/>
        <w:numPr>
          <w:ilvl w:val="0"/>
          <w:numId w:val="0"/>
        </w:numPr>
        <w:jc w:val="both"/>
      </w:pPr>
      <w:r w:rsidRPr="006D7942">
        <w:t>Coldstream Hill is of local historical</w:t>
      </w:r>
      <w:r w:rsidR="005871BF">
        <w:t xml:space="preserve">, </w:t>
      </w:r>
      <w:r w:rsidR="00B8275C">
        <w:t>aesthetic</w:t>
      </w:r>
      <w:r w:rsidR="005871BF">
        <w:t xml:space="preserve"> and associative</w:t>
      </w:r>
      <w:r w:rsidR="00B8275C">
        <w:t xml:space="preserve"> </w:t>
      </w:r>
      <w:r w:rsidRPr="006D7942">
        <w:t xml:space="preserve">significance to Yarra Ranges </w:t>
      </w:r>
      <w:r>
        <w:t>Council</w:t>
      </w:r>
      <w:r w:rsidR="00B8275C">
        <w:t xml:space="preserve">. </w:t>
      </w:r>
      <w:r w:rsidR="00E324A8">
        <w:t xml:space="preserve">The heritage citation for the property </w:t>
      </w:r>
      <w:r w:rsidR="008B43D6">
        <w:t xml:space="preserve">details </w:t>
      </w:r>
      <w:r w:rsidR="00A22995">
        <w:t>how the property is significant and what features make it so, includ</w:t>
      </w:r>
      <w:r w:rsidR="008B43D6">
        <w:t>ing the</w:t>
      </w:r>
      <w:r w:rsidR="00A22995">
        <w:t xml:space="preserve"> sprawling gardens, </w:t>
      </w:r>
      <w:r w:rsidR="008B43D6">
        <w:t xml:space="preserve">and </w:t>
      </w:r>
      <w:r w:rsidR="00A22995">
        <w:t>t</w:t>
      </w:r>
      <w:r w:rsidR="00A22995" w:rsidRPr="00A22995">
        <w:t>he mature Monterey Cypress (</w:t>
      </w:r>
      <w:r w:rsidR="00A22995" w:rsidRPr="000943D1">
        <w:rPr>
          <w:i/>
          <w:iCs/>
        </w:rPr>
        <w:t>Hesperocyparis macrocarpa</w:t>
      </w:r>
      <w:r w:rsidR="00A22995" w:rsidRPr="00A22995">
        <w:t>) tree</w:t>
      </w:r>
      <w:r w:rsidR="00A22995">
        <w:t>; the interwar era Spanish Mission renovation of the earlier Edwardian residence; t</w:t>
      </w:r>
      <w:r w:rsidR="004E7643" w:rsidRPr="004E7643">
        <w:t>he outdoor courtyard located to the south of the residence</w:t>
      </w:r>
      <w:r w:rsidR="00A22995">
        <w:t xml:space="preserve"> and the </w:t>
      </w:r>
      <w:r w:rsidR="004E7643" w:rsidRPr="004E7643">
        <w:t>extant double garage and laundry outbuildings</w:t>
      </w:r>
      <w:r w:rsidR="006D7942">
        <w:t xml:space="preserve"> and several other small outbuildings along the eastern side</w:t>
      </w:r>
      <w:r w:rsidR="004E7643" w:rsidRPr="004E7643">
        <w:t>.</w:t>
      </w:r>
      <w:r w:rsidR="008B43D6">
        <w:t xml:space="preserve"> </w:t>
      </w:r>
      <w:r w:rsidR="00F42E75" w:rsidRPr="00F42E75">
        <w:t>Further aesthetic interest is created by its arrangement around a courtyard, its brick fence and wrought iron gate,</w:t>
      </w:r>
      <w:r w:rsidR="00F42E75">
        <w:t xml:space="preserve"> </w:t>
      </w:r>
      <w:r w:rsidR="008B43D6" w:rsidRPr="008B43D6">
        <w:t xml:space="preserve">The existing paint colours, including the coral finish to the rendered walls and chimneys and blue paint finish to the external joinery also contribute to the aesthetic presentation of the dwelling and speak to the Mediterranean influence on its </w:t>
      </w:r>
      <w:r w:rsidR="008B43D6" w:rsidRPr="008B43D6">
        <w:lastRenderedPageBreak/>
        <w:t>design.</w:t>
      </w:r>
    </w:p>
    <w:p w14:paraId="65A9C857" w14:textId="77777777" w:rsidR="00B14A31" w:rsidRPr="004E7643" w:rsidRDefault="00B14A31" w:rsidP="00E14B8E">
      <w:pPr>
        <w:pStyle w:val="Bulletlist"/>
        <w:numPr>
          <w:ilvl w:val="0"/>
          <w:numId w:val="0"/>
        </w:numPr>
        <w:ind w:left="360" w:hanging="360"/>
        <w:jc w:val="both"/>
      </w:pPr>
    </w:p>
    <w:p w14:paraId="683FEF97" w14:textId="77777777" w:rsidR="00D10B9E" w:rsidRDefault="00D10B9E" w:rsidP="00D10B9E">
      <w:pPr>
        <w:pStyle w:val="Bulletlist"/>
        <w:numPr>
          <w:ilvl w:val="0"/>
          <w:numId w:val="0"/>
        </w:numPr>
        <w:jc w:val="both"/>
      </w:pPr>
    </w:p>
    <w:p w14:paraId="1E798826" w14:textId="0FACAE95" w:rsidR="006F28DB" w:rsidRDefault="008B43D6" w:rsidP="00D10B9E">
      <w:pPr>
        <w:pStyle w:val="Bulletlist"/>
        <w:numPr>
          <w:ilvl w:val="0"/>
          <w:numId w:val="0"/>
        </w:numPr>
        <w:jc w:val="both"/>
      </w:pPr>
      <w:r>
        <w:t>The Schedule to the Overlay</w:t>
      </w:r>
      <w:r w:rsidR="003059A2">
        <w:t xml:space="preserve"> (HO444) </w:t>
      </w:r>
      <w:r>
        <w:t>would suitably recommend controls</w:t>
      </w:r>
      <w:r w:rsidR="00D10B9E">
        <w:t xml:space="preserve"> </w:t>
      </w:r>
      <w:r>
        <w:t xml:space="preserve">associated with </w:t>
      </w:r>
      <w:r w:rsidR="00026E6B">
        <w:t xml:space="preserve">external paint, tree(s), solar energy systems and outbuildings or fences not exempt. Given the </w:t>
      </w:r>
      <w:r w:rsidR="00D10B9E">
        <w:t xml:space="preserve">residential </w:t>
      </w:r>
      <w:r w:rsidR="00026E6B">
        <w:t>location</w:t>
      </w:r>
      <w:r w:rsidR="00D10B9E">
        <w:t xml:space="preserve">, </w:t>
      </w:r>
      <w:r w:rsidR="00026E6B">
        <w:t xml:space="preserve">it would not be appropriate to consider prohibited uses. </w:t>
      </w:r>
      <w:r w:rsidR="0031020B">
        <w:t>While there are parts of the house which feature substantially intact interiors, i</w:t>
      </w:r>
      <w:r w:rsidR="00026E6B">
        <w:t>nternal alteration controls are</w:t>
      </w:r>
      <w:r w:rsidR="00B8275C">
        <w:t xml:space="preserve"> </w:t>
      </w:r>
      <w:r w:rsidR="00026E6B">
        <w:t>not recommended to apply</w:t>
      </w:r>
      <w:r w:rsidR="00B8275C">
        <w:t xml:space="preserve"> </w:t>
      </w:r>
      <w:r w:rsidR="00026E6B">
        <w:t>due to known difficulties of enforcing such controls at private-owned properties, without gaining access.</w:t>
      </w:r>
      <w:r w:rsidR="006E1C9F">
        <w:t xml:space="preserve"> </w:t>
      </w:r>
    </w:p>
    <w:p w14:paraId="145C6431" w14:textId="77777777" w:rsidR="00CC1B18" w:rsidRDefault="00CC1B18" w:rsidP="00D10B9E">
      <w:pPr>
        <w:pStyle w:val="Bulletlist"/>
        <w:numPr>
          <w:ilvl w:val="0"/>
          <w:numId w:val="0"/>
        </w:numPr>
        <w:jc w:val="both"/>
      </w:pPr>
    </w:p>
    <w:p w14:paraId="395FF877" w14:textId="6F99D991" w:rsidR="00CC1B18" w:rsidRDefault="00CC1B18" w:rsidP="00D10B9E">
      <w:pPr>
        <w:pStyle w:val="Bulletlist"/>
        <w:numPr>
          <w:ilvl w:val="0"/>
          <w:numId w:val="0"/>
        </w:numPr>
        <w:jc w:val="both"/>
      </w:pPr>
      <w:r>
        <w:t>The Schedule HO444 is recommended as follows:</w:t>
      </w:r>
    </w:p>
    <w:p w14:paraId="36636AC9" w14:textId="77777777" w:rsidR="00CC1B18" w:rsidRDefault="00CC1B18" w:rsidP="00D10B9E">
      <w:pPr>
        <w:pStyle w:val="Bulletlist"/>
        <w:numPr>
          <w:ilvl w:val="0"/>
          <w:numId w:val="0"/>
        </w:numPr>
        <w:jc w:val="both"/>
      </w:pPr>
    </w:p>
    <w:tbl>
      <w:tblPr>
        <w:tblStyle w:val="TableGrid"/>
        <w:tblW w:w="0" w:type="auto"/>
        <w:tblLook w:val="04A0" w:firstRow="1" w:lastRow="0" w:firstColumn="1" w:lastColumn="0" w:noHBand="0" w:noVBand="1"/>
      </w:tblPr>
      <w:tblGrid>
        <w:gridCol w:w="920"/>
        <w:gridCol w:w="993"/>
        <w:gridCol w:w="1673"/>
        <w:gridCol w:w="880"/>
        <w:gridCol w:w="1342"/>
        <w:gridCol w:w="1012"/>
        <w:gridCol w:w="1179"/>
        <w:gridCol w:w="1017"/>
      </w:tblGrid>
      <w:tr w:rsidR="003246B6" w14:paraId="7CCFFCED" w14:textId="60756C8D" w:rsidTr="00721A9D">
        <w:tc>
          <w:tcPr>
            <w:tcW w:w="1023" w:type="dxa"/>
          </w:tcPr>
          <w:p w14:paraId="280FC2E3" w14:textId="276D1059" w:rsidR="00721A9D" w:rsidRPr="003246B6" w:rsidRDefault="00721A9D" w:rsidP="00D10B9E">
            <w:pPr>
              <w:pStyle w:val="Bulletlist"/>
              <w:numPr>
                <w:ilvl w:val="0"/>
                <w:numId w:val="0"/>
              </w:numPr>
              <w:jc w:val="both"/>
              <w:rPr>
                <w:sz w:val="18"/>
                <w:szCs w:val="18"/>
              </w:rPr>
            </w:pPr>
            <w:r w:rsidRPr="003246B6">
              <w:rPr>
                <w:sz w:val="18"/>
                <w:szCs w:val="18"/>
              </w:rPr>
              <w:t>External Paint Controls Apply?</w:t>
            </w:r>
          </w:p>
        </w:tc>
        <w:tc>
          <w:tcPr>
            <w:tcW w:w="1101" w:type="dxa"/>
          </w:tcPr>
          <w:p w14:paraId="7FB44E7C" w14:textId="5E4EE213" w:rsidR="00721A9D" w:rsidRPr="003246B6" w:rsidRDefault="00721A9D" w:rsidP="00D10B9E">
            <w:pPr>
              <w:pStyle w:val="Bulletlist"/>
              <w:numPr>
                <w:ilvl w:val="0"/>
                <w:numId w:val="0"/>
              </w:numPr>
              <w:jc w:val="both"/>
              <w:rPr>
                <w:sz w:val="18"/>
                <w:szCs w:val="18"/>
              </w:rPr>
            </w:pPr>
            <w:r w:rsidRPr="003246B6">
              <w:rPr>
                <w:sz w:val="18"/>
                <w:szCs w:val="18"/>
              </w:rPr>
              <w:t>Internal alteration controls apply?</w:t>
            </w:r>
          </w:p>
        </w:tc>
        <w:tc>
          <w:tcPr>
            <w:tcW w:w="981" w:type="dxa"/>
          </w:tcPr>
          <w:p w14:paraId="4333EAF3" w14:textId="72DC4F00" w:rsidR="00721A9D" w:rsidRPr="003246B6" w:rsidRDefault="00721A9D" w:rsidP="00D10B9E">
            <w:pPr>
              <w:pStyle w:val="Bulletlist"/>
              <w:numPr>
                <w:ilvl w:val="0"/>
                <w:numId w:val="0"/>
              </w:numPr>
              <w:jc w:val="both"/>
              <w:rPr>
                <w:sz w:val="18"/>
                <w:szCs w:val="18"/>
              </w:rPr>
            </w:pPr>
            <w:r w:rsidRPr="003246B6">
              <w:rPr>
                <w:sz w:val="18"/>
                <w:szCs w:val="18"/>
              </w:rPr>
              <w:t>Tree controls apply?</w:t>
            </w:r>
          </w:p>
        </w:tc>
        <w:tc>
          <w:tcPr>
            <w:tcW w:w="981" w:type="dxa"/>
          </w:tcPr>
          <w:p w14:paraId="39C94884" w14:textId="3B715144" w:rsidR="00721A9D" w:rsidRPr="003246B6" w:rsidRDefault="00721A9D" w:rsidP="00D10B9E">
            <w:pPr>
              <w:pStyle w:val="Bulletlist"/>
              <w:numPr>
                <w:ilvl w:val="0"/>
                <w:numId w:val="0"/>
              </w:numPr>
              <w:jc w:val="both"/>
              <w:rPr>
                <w:sz w:val="18"/>
                <w:szCs w:val="18"/>
              </w:rPr>
            </w:pPr>
            <w:r w:rsidRPr="003246B6">
              <w:rPr>
                <w:sz w:val="18"/>
                <w:szCs w:val="18"/>
              </w:rPr>
              <w:t>Solar energy system controls apply?</w:t>
            </w:r>
          </w:p>
        </w:tc>
        <w:tc>
          <w:tcPr>
            <w:tcW w:w="1385" w:type="dxa"/>
          </w:tcPr>
          <w:p w14:paraId="1FAE2DB7" w14:textId="77777777" w:rsidR="00721A9D" w:rsidRPr="003246B6" w:rsidRDefault="00721A9D" w:rsidP="00721A9D">
            <w:pPr>
              <w:pStyle w:val="Bulletlist"/>
              <w:numPr>
                <w:ilvl w:val="0"/>
                <w:numId w:val="0"/>
              </w:numPr>
              <w:ind w:left="360" w:hanging="360"/>
              <w:jc w:val="both"/>
              <w:rPr>
                <w:sz w:val="18"/>
                <w:szCs w:val="18"/>
              </w:rPr>
            </w:pPr>
            <w:r w:rsidRPr="003246B6">
              <w:rPr>
                <w:sz w:val="18"/>
                <w:szCs w:val="18"/>
              </w:rPr>
              <w:t>Outbuildings</w:t>
            </w:r>
          </w:p>
          <w:p w14:paraId="781C81B8" w14:textId="77777777" w:rsidR="00721A9D" w:rsidRPr="003246B6" w:rsidRDefault="00721A9D" w:rsidP="00721A9D">
            <w:pPr>
              <w:pStyle w:val="Bulletlist"/>
              <w:numPr>
                <w:ilvl w:val="0"/>
                <w:numId w:val="0"/>
              </w:numPr>
              <w:jc w:val="both"/>
              <w:rPr>
                <w:sz w:val="18"/>
                <w:szCs w:val="18"/>
              </w:rPr>
            </w:pPr>
            <w:r w:rsidRPr="003246B6">
              <w:rPr>
                <w:sz w:val="18"/>
                <w:szCs w:val="18"/>
              </w:rPr>
              <w:t>or fences not</w:t>
            </w:r>
          </w:p>
          <w:p w14:paraId="78A9718B" w14:textId="77777777" w:rsidR="00721A9D" w:rsidRPr="003246B6" w:rsidRDefault="00721A9D" w:rsidP="00721A9D">
            <w:pPr>
              <w:pStyle w:val="Bulletlist"/>
              <w:numPr>
                <w:ilvl w:val="0"/>
                <w:numId w:val="0"/>
              </w:numPr>
              <w:ind w:left="360" w:hanging="360"/>
              <w:jc w:val="both"/>
              <w:rPr>
                <w:sz w:val="18"/>
                <w:szCs w:val="18"/>
              </w:rPr>
            </w:pPr>
            <w:r w:rsidRPr="003246B6">
              <w:rPr>
                <w:sz w:val="18"/>
                <w:szCs w:val="18"/>
              </w:rPr>
              <w:t>exempt</w:t>
            </w:r>
          </w:p>
          <w:p w14:paraId="1775CB86" w14:textId="77777777" w:rsidR="00721A9D" w:rsidRPr="003246B6" w:rsidRDefault="00721A9D" w:rsidP="00721A9D">
            <w:pPr>
              <w:pStyle w:val="Bulletlist"/>
              <w:numPr>
                <w:ilvl w:val="0"/>
                <w:numId w:val="0"/>
              </w:numPr>
              <w:ind w:left="360" w:hanging="360"/>
              <w:jc w:val="both"/>
              <w:rPr>
                <w:sz w:val="18"/>
                <w:szCs w:val="18"/>
              </w:rPr>
            </w:pPr>
            <w:r w:rsidRPr="003246B6">
              <w:rPr>
                <w:sz w:val="18"/>
                <w:szCs w:val="18"/>
              </w:rPr>
              <w:t>under Clause</w:t>
            </w:r>
          </w:p>
          <w:p w14:paraId="79EFBA6E" w14:textId="1D0D880F" w:rsidR="00721A9D" w:rsidRPr="003246B6" w:rsidRDefault="00721A9D" w:rsidP="00721A9D">
            <w:pPr>
              <w:pStyle w:val="Bulletlist"/>
              <w:numPr>
                <w:ilvl w:val="0"/>
                <w:numId w:val="0"/>
              </w:numPr>
              <w:jc w:val="both"/>
              <w:rPr>
                <w:sz w:val="18"/>
                <w:szCs w:val="18"/>
              </w:rPr>
            </w:pPr>
            <w:r w:rsidRPr="003246B6">
              <w:rPr>
                <w:sz w:val="18"/>
                <w:szCs w:val="18"/>
              </w:rPr>
              <w:t>43.01-4</w:t>
            </w:r>
          </w:p>
        </w:tc>
        <w:tc>
          <w:tcPr>
            <w:tcW w:w="1362" w:type="dxa"/>
          </w:tcPr>
          <w:p w14:paraId="7EE0A7A0" w14:textId="137803DC" w:rsidR="00721A9D" w:rsidRPr="003246B6" w:rsidRDefault="00721A9D" w:rsidP="003246B6">
            <w:pPr>
              <w:pStyle w:val="Bulletlist"/>
              <w:numPr>
                <w:ilvl w:val="0"/>
                <w:numId w:val="0"/>
              </w:numPr>
              <w:rPr>
                <w:sz w:val="18"/>
                <w:szCs w:val="18"/>
              </w:rPr>
            </w:pPr>
            <w:r w:rsidRPr="003246B6">
              <w:rPr>
                <w:sz w:val="18"/>
                <w:szCs w:val="18"/>
              </w:rPr>
              <w:t xml:space="preserve">Included on the VHR under the </w:t>
            </w:r>
            <w:r w:rsidRPr="002F7E5D">
              <w:rPr>
                <w:i/>
                <w:iCs/>
                <w:sz w:val="18"/>
                <w:szCs w:val="18"/>
              </w:rPr>
              <w:t>Heritage Act 2017</w:t>
            </w:r>
          </w:p>
        </w:tc>
        <w:tc>
          <w:tcPr>
            <w:tcW w:w="1521" w:type="dxa"/>
          </w:tcPr>
          <w:p w14:paraId="798C64E4" w14:textId="2C509A4A" w:rsidR="00721A9D" w:rsidRPr="003246B6" w:rsidRDefault="00721A9D" w:rsidP="003246B6">
            <w:pPr>
              <w:pStyle w:val="Bulletlist"/>
              <w:numPr>
                <w:ilvl w:val="0"/>
                <w:numId w:val="0"/>
              </w:numPr>
              <w:rPr>
                <w:sz w:val="18"/>
                <w:szCs w:val="18"/>
              </w:rPr>
            </w:pPr>
            <w:r w:rsidRPr="003246B6">
              <w:rPr>
                <w:sz w:val="18"/>
                <w:szCs w:val="18"/>
              </w:rPr>
              <w:t>Prohibited uses permitted?</w:t>
            </w:r>
          </w:p>
        </w:tc>
        <w:tc>
          <w:tcPr>
            <w:tcW w:w="662" w:type="dxa"/>
          </w:tcPr>
          <w:p w14:paraId="2BB35EB5" w14:textId="1B451807" w:rsidR="00721A9D" w:rsidRPr="003246B6" w:rsidRDefault="00721A9D" w:rsidP="003246B6">
            <w:pPr>
              <w:pStyle w:val="Bulletlist"/>
              <w:numPr>
                <w:ilvl w:val="0"/>
                <w:numId w:val="0"/>
              </w:numPr>
              <w:rPr>
                <w:sz w:val="18"/>
                <w:szCs w:val="18"/>
              </w:rPr>
            </w:pPr>
            <w:r w:rsidRPr="003246B6">
              <w:rPr>
                <w:sz w:val="18"/>
                <w:szCs w:val="18"/>
              </w:rPr>
              <w:t>Aboriginal Heritage Place?</w:t>
            </w:r>
          </w:p>
          <w:p w14:paraId="13D2502A" w14:textId="0763609F" w:rsidR="00721A9D" w:rsidRPr="003246B6" w:rsidRDefault="00721A9D" w:rsidP="00721A9D">
            <w:pPr>
              <w:pStyle w:val="Bulletlist"/>
              <w:numPr>
                <w:ilvl w:val="0"/>
                <w:numId w:val="0"/>
              </w:numPr>
              <w:ind w:left="360" w:hanging="360"/>
              <w:rPr>
                <w:sz w:val="18"/>
                <w:szCs w:val="18"/>
              </w:rPr>
            </w:pPr>
          </w:p>
        </w:tc>
      </w:tr>
      <w:tr w:rsidR="003246B6" w14:paraId="75DDE0F8" w14:textId="065A272A" w:rsidTr="00721A9D">
        <w:tc>
          <w:tcPr>
            <w:tcW w:w="1023" w:type="dxa"/>
          </w:tcPr>
          <w:p w14:paraId="65790156" w14:textId="5935E6A1" w:rsidR="00721A9D" w:rsidRDefault="00A76E25" w:rsidP="00A76E25">
            <w:pPr>
              <w:pStyle w:val="Bulletlist"/>
              <w:numPr>
                <w:ilvl w:val="0"/>
                <w:numId w:val="0"/>
              </w:numPr>
              <w:spacing w:before="0" w:after="0"/>
              <w:jc w:val="both"/>
              <w:rPr>
                <w:sz w:val="20"/>
                <w:szCs w:val="20"/>
              </w:rPr>
            </w:pPr>
            <w:r>
              <w:rPr>
                <w:sz w:val="20"/>
                <w:szCs w:val="20"/>
              </w:rPr>
              <w:t>Yes</w:t>
            </w:r>
          </w:p>
          <w:p w14:paraId="522710C0" w14:textId="16CB2566" w:rsidR="00B85E56" w:rsidRPr="00721A9D" w:rsidRDefault="00B85E56" w:rsidP="00A76E25">
            <w:pPr>
              <w:pStyle w:val="Bulletlist"/>
              <w:numPr>
                <w:ilvl w:val="0"/>
                <w:numId w:val="0"/>
              </w:numPr>
              <w:spacing w:before="0" w:after="0"/>
              <w:jc w:val="both"/>
              <w:rPr>
                <w:sz w:val="20"/>
                <w:szCs w:val="20"/>
              </w:rPr>
            </w:pPr>
          </w:p>
        </w:tc>
        <w:tc>
          <w:tcPr>
            <w:tcW w:w="1101" w:type="dxa"/>
          </w:tcPr>
          <w:p w14:paraId="0BB9C9CE" w14:textId="69025F4D" w:rsidR="00721A9D" w:rsidRDefault="00A76E25" w:rsidP="00A76E25">
            <w:pPr>
              <w:pStyle w:val="Bulletlist"/>
              <w:numPr>
                <w:ilvl w:val="0"/>
                <w:numId w:val="0"/>
              </w:numPr>
              <w:spacing w:before="0" w:after="0"/>
              <w:jc w:val="both"/>
              <w:rPr>
                <w:sz w:val="20"/>
                <w:szCs w:val="20"/>
              </w:rPr>
            </w:pPr>
            <w:r>
              <w:rPr>
                <w:sz w:val="20"/>
                <w:szCs w:val="20"/>
              </w:rPr>
              <w:t>No</w:t>
            </w:r>
          </w:p>
          <w:p w14:paraId="3FBA6AF2" w14:textId="194ACC23" w:rsidR="00B85E56" w:rsidRPr="00721A9D" w:rsidRDefault="00B85E56" w:rsidP="00A76E25">
            <w:pPr>
              <w:pStyle w:val="Bulletlist"/>
              <w:numPr>
                <w:ilvl w:val="0"/>
                <w:numId w:val="0"/>
              </w:numPr>
              <w:spacing w:before="0" w:after="0"/>
              <w:jc w:val="both"/>
              <w:rPr>
                <w:sz w:val="20"/>
                <w:szCs w:val="20"/>
              </w:rPr>
            </w:pPr>
          </w:p>
        </w:tc>
        <w:tc>
          <w:tcPr>
            <w:tcW w:w="981" w:type="dxa"/>
          </w:tcPr>
          <w:p w14:paraId="6DA58D8B" w14:textId="2AF410F4" w:rsidR="00721A9D" w:rsidRPr="00721A9D" w:rsidRDefault="00A76E25" w:rsidP="00A76E25">
            <w:pPr>
              <w:pStyle w:val="Bulletlist"/>
              <w:numPr>
                <w:ilvl w:val="0"/>
                <w:numId w:val="0"/>
              </w:numPr>
              <w:spacing w:before="0" w:after="0"/>
              <w:jc w:val="both"/>
              <w:rPr>
                <w:sz w:val="20"/>
                <w:szCs w:val="20"/>
              </w:rPr>
            </w:pPr>
            <w:r w:rsidRPr="00A76E25">
              <w:rPr>
                <w:sz w:val="20"/>
                <w:szCs w:val="20"/>
              </w:rPr>
              <w:t>Yes – Monterey Cypress (</w:t>
            </w:r>
            <w:r w:rsidRPr="00A76E25">
              <w:rPr>
                <w:i/>
                <w:iCs/>
                <w:sz w:val="20"/>
                <w:szCs w:val="20"/>
              </w:rPr>
              <w:t>Hesperocyparis macrocarpa</w:t>
            </w:r>
            <w:r w:rsidRPr="00A76E25">
              <w:rPr>
                <w:sz w:val="20"/>
                <w:szCs w:val="20"/>
              </w:rPr>
              <w:t>)</w:t>
            </w:r>
          </w:p>
        </w:tc>
        <w:tc>
          <w:tcPr>
            <w:tcW w:w="981" w:type="dxa"/>
          </w:tcPr>
          <w:p w14:paraId="03340037" w14:textId="39B71DD5" w:rsidR="00721A9D" w:rsidRPr="00721A9D" w:rsidRDefault="00A76E25" w:rsidP="00A76E25">
            <w:pPr>
              <w:pStyle w:val="Bulletlist"/>
              <w:numPr>
                <w:ilvl w:val="0"/>
                <w:numId w:val="0"/>
              </w:numPr>
              <w:spacing w:before="0" w:after="0"/>
              <w:jc w:val="both"/>
              <w:rPr>
                <w:sz w:val="20"/>
                <w:szCs w:val="20"/>
              </w:rPr>
            </w:pPr>
            <w:r>
              <w:rPr>
                <w:sz w:val="20"/>
                <w:szCs w:val="20"/>
              </w:rPr>
              <w:t>Yes</w:t>
            </w:r>
          </w:p>
        </w:tc>
        <w:tc>
          <w:tcPr>
            <w:tcW w:w="1385" w:type="dxa"/>
          </w:tcPr>
          <w:p w14:paraId="75478E18" w14:textId="77777777" w:rsidR="00A76E25" w:rsidRPr="00A76E25" w:rsidRDefault="00A76E25" w:rsidP="00A76E25">
            <w:pPr>
              <w:pStyle w:val="Bulletlist"/>
              <w:numPr>
                <w:ilvl w:val="0"/>
                <w:numId w:val="0"/>
              </w:numPr>
              <w:spacing w:before="0" w:after="0"/>
              <w:ind w:left="360" w:hanging="360"/>
              <w:jc w:val="both"/>
              <w:rPr>
                <w:sz w:val="20"/>
                <w:szCs w:val="20"/>
              </w:rPr>
            </w:pPr>
            <w:r w:rsidRPr="00A76E25">
              <w:rPr>
                <w:sz w:val="20"/>
                <w:szCs w:val="20"/>
              </w:rPr>
              <w:t xml:space="preserve">Yes </w:t>
            </w:r>
          </w:p>
          <w:p w14:paraId="64970AAB" w14:textId="44BCA812" w:rsidR="00A76E25" w:rsidRDefault="00A76E25" w:rsidP="00A76E25">
            <w:pPr>
              <w:pStyle w:val="Bulletlist"/>
              <w:numPr>
                <w:ilvl w:val="0"/>
                <w:numId w:val="0"/>
              </w:numPr>
              <w:spacing w:before="0" w:after="0"/>
              <w:ind w:left="360" w:hanging="360"/>
              <w:jc w:val="both"/>
              <w:rPr>
                <w:sz w:val="20"/>
                <w:szCs w:val="20"/>
              </w:rPr>
            </w:pPr>
            <w:r w:rsidRPr="00A76E25">
              <w:rPr>
                <w:sz w:val="20"/>
                <w:szCs w:val="20"/>
              </w:rPr>
              <w:t>Fences</w:t>
            </w:r>
            <w:r w:rsidR="00E42B5A">
              <w:rPr>
                <w:sz w:val="20"/>
                <w:szCs w:val="20"/>
              </w:rPr>
              <w:t xml:space="preserve"> -</w:t>
            </w:r>
          </w:p>
          <w:p w14:paraId="3D38A274" w14:textId="77777777" w:rsidR="00A76E25" w:rsidRDefault="00A76E25" w:rsidP="00A76E25">
            <w:pPr>
              <w:pStyle w:val="Bulletlist"/>
              <w:numPr>
                <w:ilvl w:val="0"/>
                <w:numId w:val="0"/>
              </w:numPr>
              <w:spacing w:before="0" w:after="0"/>
              <w:ind w:left="360" w:hanging="360"/>
              <w:jc w:val="both"/>
              <w:rPr>
                <w:sz w:val="20"/>
                <w:szCs w:val="20"/>
              </w:rPr>
            </w:pPr>
            <w:r w:rsidRPr="00A76E25">
              <w:rPr>
                <w:sz w:val="20"/>
                <w:szCs w:val="20"/>
              </w:rPr>
              <w:t>Brick fence</w:t>
            </w:r>
          </w:p>
          <w:p w14:paraId="12B10204" w14:textId="77777777" w:rsidR="00A76E25" w:rsidRDefault="00A76E25" w:rsidP="00A76E25">
            <w:pPr>
              <w:pStyle w:val="Bulletlist"/>
              <w:numPr>
                <w:ilvl w:val="0"/>
                <w:numId w:val="0"/>
              </w:numPr>
              <w:spacing w:before="0" w:after="0"/>
              <w:ind w:left="360" w:hanging="360"/>
              <w:jc w:val="both"/>
              <w:rPr>
                <w:sz w:val="20"/>
                <w:szCs w:val="20"/>
              </w:rPr>
            </w:pPr>
            <w:r w:rsidRPr="00A76E25">
              <w:rPr>
                <w:sz w:val="20"/>
                <w:szCs w:val="20"/>
              </w:rPr>
              <w:t>and wrought</w:t>
            </w:r>
          </w:p>
          <w:p w14:paraId="02890B03" w14:textId="77777777" w:rsidR="00A76E25" w:rsidRDefault="00A76E25" w:rsidP="00A76E25">
            <w:pPr>
              <w:pStyle w:val="Bulletlist"/>
              <w:numPr>
                <w:ilvl w:val="0"/>
                <w:numId w:val="0"/>
              </w:numPr>
              <w:spacing w:before="0" w:after="0"/>
              <w:ind w:left="360" w:hanging="360"/>
              <w:jc w:val="both"/>
              <w:rPr>
                <w:sz w:val="20"/>
                <w:szCs w:val="20"/>
              </w:rPr>
            </w:pPr>
            <w:r w:rsidRPr="00A76E25">
              <w:rPr>
                <w:sz w:val="20"/>
                <w:szCs w:val="20"/>
              </w:rPr>
              <w:t xml:space="preserve">iron </w:t>
            </w:r>
            <w:proofErr w:type="gramStart"/>
            <w:r w:rsidRPr="00A76E25">
              <w:rPr>
                <w:sz w:val="20"/>
                <w:szCs w:val="20"/>
              </w:rPr>
              <w:t>gate;</w:t>
            </w:r>
            <w:proofErr w:type="gramEnd"/>
          </w:p>
          <w:p w14:paraId="25D4C702" w14:textId="77777777" w:rsidR="00A76E25" w:rsidRDefault="00A76E25" w:rsidP="00A76E25">
            <w:pPr>
              <w:pStyle w:val="Bulletlist"/>
              <w:numPr>
                <w:ilvl w:val="0"/>
                <w:numId w:val="0"/>
              </w:numPr>
              <w:spacing w:before="0" w:after="0"/>
              <w:ind w:left="360" w:hanging="360"/>
              <w:jc w:val="both"/>
              <w:rPr>
                <w:sz w:val="20"/>
                <w:szCs w:val="20"/>
              </w:rPr>
            </w:pPr>
            <w:r w:rsidRPr="00A76E25">
              <w:rPr>
                <w:sz w:val="20"/>
                <w:szCs w:val="20"/>
              </w:rPr>
              <w:t>Stone wall</w:t>
            </w:r>
          </w:p>
          <w:p w14:paraId="5523360A" w14:textId="41EFC13B" w:rsidR="00A76E25" w:rsidRPr="00A76E25" w:rsidRDefault="00A76E25" w:rsidP="00A76E25">
            <w:pPr>
              <w:pStyle w:val="Bulletlist"/>
              <w:numPr>
                <w:ilvl w:val="0"/>
                <w:numId w:val="0"/>
              </w:numPr>
              <w:spacing w:before="0" w:after="0"/>
              <w:ind w:left="360" w:hanging="360"/>
              <w:jc w:val="both"/>
              <w:rPr>
                <w:sz w:val="20"/>
                <w:szCs w:val="20"/>
              </w:rPr>
            </w:pPr>
            <w:r w:rsidRPr="00A76E25">
              <w:rPr>
                <w:sz w:val="20"/>
                <w:szCs w:val="20"/>
              </w:rPr>
              <w:t>(to the east)</w:t>
            </w:r>
          </w:p>
          <w:p w14:paraId="7CF8F50D" w14:textId="2D3B446C" w:rsidR="00721A9D" w:rsidRPr="00721A9D" w:rsidRDefault="00A76E25" w:rsidP="00A76E25">
            <w:pPr>
              <w:pStyle w:val="Bulletlist"/>
              <w:numPr>
                <w:ilvl w:val="0"/>
                <w:numId w:val="0"/>
              </w:numPr>
              <w:spacing w:before="0" w:after="0"/>
              <w:jc w:val="both"/>
              <w:rPr>
                <w:sz w:val="20"/>
                <w:szCs w:val="20"/>
              </w:rPr>
            </w:pPr>
            <w:r w:rsidRPr="00A76E25">
              <w:rPr>
                <w:sz w:val="20"/>
                <w:szCs w:val="20"/>
              </w:rPr>
              <w:t>Outbuildings</w:t>
            </w:r>
            <w:r>
              <w:rPr>
                <w:sz w:val="20"/>
                <w:szCs w:val="20"/>
              </w:rPr>
              <w:t xml:space="preserve"> -</w:t>
            </w:r>
            <w:r w:rsidRPr="00A76E25">
              <w:rPr>
                <w:sz w:val="20"/>
                <w:szCs w:val="20"/>
              </w:rPr>
              <w:t>Garage;</w:t>
            </w:r>
            <w:r w:rsidR="002F7E5D">
              <w:rPr>
                <w:sz w:val="20"/>
                <w:szCs w:val="20"/>
              </w:rPr>
              <w:t xml:space="preserve"> </w:t>
            </w:r>
            <w:r w:rsidRPr="00A76E25">
              <w:rPr>
                <w:sz w:val="20"/>
                <w:szCs w:val="20"/>
              </w:rPr>
              <w:t>Laundry</w:t>
            </w:r>
          </w:p>
        </w:tc>
        <w:tc>
          <w:tcPr>
            <w:tcW w:w="1362" w:type="dxa"/>
          </w:tcPr>
          <w:p w14:paraId="0635C5FF" w14:textId="3FF42A05" w:rsidR="00721A9D" w:rsidRPr="00721A9D" w:rsidRDefault="002F7E5D" w:rsidP="00A76E25">
            <w:pPr>
              <w:pStyle w:val="Bulletlist"/>
              <w:numPr>
                <w:ilvl w:val="0"/>
                <w:numId w:val="0"/>
              </w:numPr>
              <w:spacing w:before="0" w:after="0"/>
              <w:jc w:val="both"/>
              <w:rPr>
                <w:sz w:val="20"/>
                <w:szCs w:val="20"/>
              </w:rPr>
            </w:pPr>
            <w:r>
              <w:rPr>
                <w:sz w:val="20"/>
                <w:szCs w:val="20"/>
              </w:rPr>
              <w:t>No</w:t>
            </w:r>
          </w:p>
        </w:tc>
        <w:tc>
          <w:tcPr>
            <w:tcW w:w="1521" w:type="dxa"/>
          </w:tcPr>
          <w:p w14:paraId="28E3F2CC" w14:textId="44BCDF9B" w:rsidR="00721A9D" w:rsidRPr="00721A9D" w:rsidRDefault="002F7E5D" w:rsidP="00A76E25">
            <w:pPr>
              <w:pStyle w:val="Bulletlist"/>
              <w:numPr>
                <w:ilvl w:val="0"/>
                <w:numId w:val="0"/>
              </w:numPr>
              <w:spacing w:before="0" w:after="0"/>
              <w:jc w:val="both"/>
              <w:rPr>
                <w:sz w:val="20"/>
                <w:szCs w:val="20"/>
              </w:rPr>
            </w:pPr>
            <w:r>
              <w:rPr>
                <w:sz w:val="20"/>
                <w:szCs w:val="20"/>
              </w:rPr>
              <w:t>No</w:t>
            </w:r>
          </w:p>
        </w:tc>
        <w:tc>
          <w:tcPr>
            <w:tcW w:w="662" w:type="dxa"/>
          </w:tcPr>
          <w:p w14:paraId="4B9D29CF" w14:textId="1DAEEBFC" w:rsidR="00721A9D" w:rsidRPr="00721A9D" w:rsidRDefault="002F7E5D" w:rsidP="00A76E25">
            <w:pPr>
              <w:pStyle w:val="Bulletlist"/>
              <w:numPr>
                <w:ilvl w:val="0"/>
                <w:numId w:val="0"/>
              </w:numPr>
              <w:spacing w:before="0" w:after="0"/>
              <w:jc w:val="both"/>
              <w:rPr>
                <w:sz w:val="20"/>
                <w:szCs w:val="20"/>
              </w:rPr>
            </w:pPr>
            <w:r>
              <w:rPr>
                <w:sz w:val="20"/>
                <w:szCs w:val="20"/>
              </w:rPr>
              <w:t>No</w:t>
            </w:r>
          </w:p>
        </w:tc>
      </w:tr>
    </w:tbl>
    <w:p w14:paraId="22CB40E4" w14:textId="64318043" w:rsidR="00A15C2E" w:rsidRDefault="00A15C2E" w:rsidP="00E14B8E">
      <w:pPr>
        <w:pStyle w:val="Heading3"/>
        <w:jc w:val="both"/>
      </w:pPr>
      <w:r>
        <w:t>How does the amendment implement the objectives of planning in Victoria?</w:t>
      </w:r>
    </w:p>
    <w:p w14:paraId="434C4084" w14:textId="7C06BCE6" w:rsidR="0082519B" w:rsidRPr="0082519B" w:rsidRDefault="0082519B" w:rsidP="00E14B8E">
      <w:pPr>
        <w:jc w:val="both"/>
      </w:pPr>
      <w:r w:rsidRPr="0082519B">
        <w:t xml:space="preserve">The amendment </w:t>
      </w:r>
      <w:r w:rsidR="00407EBA">
        <w:t>implements the</w:t>
      </w:r>
      <w:r w:rsidRPr="0082519B">
        <w:t xml:space="preserve"> objectives of planning in Victoria, as contained in Section 4</w:t>
      </w:r>
      <w:r w:rsidR="00407EBA">
        <w:t>(1)</w:t>
      </w:r>
      <w:r w:rsidRPr="0082519B">
        <w:t xml:space="preserve"> of the </w:t>
      </w:r>
      <w:r w:rsidRPr="008036E1">
        <w:rPr>
          <w:i/>
        </w:rPr>
        <w:t>Planning and Environment Act 1987</w:t>
      </w:r>
      <w:r w:rsidRPr="0082519B">
        <w:t>:</w:t>
      </w:r>
    </w:p>
    <w:p w14:paraId="5F53CE3C" w14:textId="77777777" w:rsidR="0082519B" w:rsidRPr="0082519B" w:rsidRDefault="0082519B" w:rsidP="00E14B8E">
      <w:pPr>
        <w:ind w:left="720" w:hanging="720"/>
        <w:jc w:val="both"/>
      </w:pPr>
      <w:r w:rsidRPr="0082519B">
        <w:t xml:space="preserve">(a) </w:t>
      </w:r>
      <w:r w:rsidRPr="0082519B">
        <w:tab/>
        <w:t xml:space="preserve">to provide for the fair, orderly, economic and sustainable use and development of </w:t>
      </w:r>
      <w:proofErr w:type="gramStart"/>
      <w:r w:rsidRPr="0082519B">
        <w:t>land;</w:t>
      </w:r>
      <w:proofErr w:type="gramEnd"/>
    </w:p>
    <w:p w14:paraId="2D1BBC2C" w14:textId="3170384C" w:rsidR="0082519B" w:rsidRPr="0082519B" w:rsidRDefault="0082519B" w:rsidP="00E14B8E">
      <w:pPr>
        <w:ind w:left="720" w:hanging="720"/>
        <w:jc w:val="both"/>
      </w:pPr>
      <w:r w:rsidRPr="0082519B">
        <w:t xml:space="preserve">(d) </w:t>
      </w:r>
      <w:r w:rsidRPr="0082519B">
        <w:tab/>
      </w:r>
      <w:r w:rsidR="00407EBA">
        <w:t>t</w:t>
      </w:r>
      <w:r w:rsidR="00407EBA" w:rsidRPr="0082519B">
        <w:t xml:space="preserve">o </w:t>
      </w:r>
      <w:r w:rsidRPr="0082519B">
        <w:t xml:space="preserve">conserve and enhance those buildings, areas or other places which are of scientific, aesthetic, architectural or historical interest, or otherwise of special cultural </w:t>
      </w:r>
      <w:proofErr w:type="gramStart"/>
      <w:r w:rsidRPr="0082519B">
        <w:t>value;</w:t>
      </w:r>
      <w:proofErr w:type="gramEnd"/>
    </w:p>
    <w:p w14:paraId="1C0EBECD" w14:textId="77777777" w:rsidR="0082519B" w:rsidRPr="0082519B" w:rsidRDefault="0082519B" w:rsidP="00E14B8E">
      <w:pPr>
        <w:jc w:val="both"/>
      </w:pPr>
      <w:r w:rsidRPr="0082519B">
        <w:t xml:space="preserve">(g) </w:t>
      </w:r>
      <w:r w:rsidRPr="0082519B">
        <w:tab/>
        <w:t>to balance the present and future interests of all Victorians.</w:t>
      </w:r>
    </w:p>
    <w:p w14:paraId="6A852C8A" w14:textId="4B9B8996" w:rsidR="006A19B5" w:rsidRPr="0082519B" w:rsidRDefault="0082519B" w:rsidP="00E14B8E">
      <w:pPr>
        <w:jc w:val="both"/>
      </w:pPr>
      <w:r w:rsidRPr="0082519B">
        <w:t>The</w:t>
      </w:r>
      <w:r w:rsidR="00407EBA">
        <w:t xml:space="preserve"> </w:t>
      </w:r>
      <w:r w:rsidR="00882A6E">
        <w:t>proposed</w:t>
      </w:r>
      <w:r w:rsidRPr="0082519B">
        <w:t xml:space="preserve"> amendment contribute</w:t>
      </w:r>
      <w:r w:rsidR="007B7F19">
        <w:t>s</w:t>
      </w:r>
      <w:r w:rsidRPr="0082519B">
        <w:t xml:space="preserve"> to these objectives by applying the Heritage Overlay (HO</w:t>
      </w:r>
      <w:r>
        <w:t>444</w:t>
      </w:r>
      <w:r w:rsidRPr="0082519B">
        <w:t>) to 1</w:t>
      </w:r>
      <w:r>
        <w:t>31</w:t>
      </w:r>
      <w:r w:rsidRPr="0082519B">
        <w:t xml:space="preserve"> M</w:t>
      </w:r>
      <w:r>
        <w:t xml:space="preserve">angans </w:t>
      </w:r>
      <w:r w:rsidRPr="0082519B">
        <w:t xml:space="preserve">Road, </w:t>
      </w:r>
      <w:r>
        <w:t xml:space="preserve">Lilydale </w:t>
      </w:r>
      <w:r w:rsidRPr="0082519B">
        <w:t>which will assist in conserving and enhancing the heritage significance of the site. The amendment ensures that the heritage place will be protected for the interest of residents, visitors and future generations of the municipality.</w:t>
      </w:r>
    </w:p>
    <w:p w14:paraId="120A8F70" w14:textId="77777777" w:rsidR="00A15C2E" w:rsidRDefault="00A15C2E" w:rsidP="00E14B8E">
      <w:pPr>
        <w:pStyle w:val="Heading3"/>
        <w:jc w:val="both"/>
      </w:pPr>
      <w:r>
        <w:lastRenderedPageBreak/>
        <w:t>How does the amendment address any environmental, social and economic effects?</w:t>
      </w:r>
    </w:p>
    <w:p w14:paraId="222CFDF9" w14:textId="77777777" w:rsidR="0082519B" w:rsidRDefault="0082519B" w:rsidP="00E14B8E">
      <w:pPr>
        <w:jc w:val="both"/>
      </w:pPr>
      <w:r>
        <w:t xml:space="preserve">The amendment will not have any adverse effects on the environment. </w:t>
      </w:r>
    </w:p>
    <w:p w14:paraId="3317F1E1" w14:textId="186D27F1" w:rsidR="0082519B" w:rsidRDefault="0082519B" w:rsidP="00E14B8E">
      <w:pPr>
        <w:jc w:val="both"/>
      </w:pPr>
      <w:r>
        <w:t xml:space="preserve">The amendment will have positive social and cultural impacts through the heritage protection of this place in the Yarra Ranges Planning Scheme. Protection of heritage places benefits the community by adding to the understanding of Yarra Ranges rich cultural history, providing a link to the past and giving a sense of place. </w:t>
      </w:r>
    </w:p>
    <w:p w14:paraId="38A715F6" w14:textId="77777777" w:rsidR="0082519B" w:rsidRDefault="0082519B" w:rsidP="00E14B8E">
      <w:pPr>
        <w:jc w:val="both"/>
      </w:pPr>
      <w:r>
        <w:t>Retaining heritage buildings for adaptive reuse can also lead to environmental and economic benefits through the substantial reduction in building, demolition and new construction waste, and the conservation of embodied energy in the existing building.</w:t>
      </w:r>
    </w:p>
    <w:p w14:paraId="204354D7" w14:textId="7D02544E" w:rsidR="0082519B" w:rsidRPr="0082519B" w:rsidRDefault="0082519B" w:rsidP="00E14B8E">
      <w:pPr>
        <w:jc w:val="both"/>
      </w:pPr>
      <w:r>
        <w:t xml:space="preserve">The application of the Heritage Overlay may have an economic impact by affecting any future sale and development of the site.  </w:t>
      </w:r>
    </w:p>
    <w:p w14:paraId="632ACC7A" w14:textId="77777777" w:rsidR="003227E3" w:rsidRPr="00AA5C8A" w:rsidRDefault="003227E3" w:rsidP="003227E3">
      <w:pPr>
        <w:pStyle w:val="Heading3"/>
      </w:pPr>
      <w:r w:rsidRPr="00AA5C8A">
        <w:t>Does the amendment address climate change?</w:t>
      </w:r>
    </w:p>
    <w:p w14:paraId="4E68FE51" w14:textId="2CCED12D" w:rsidR="003059A2" w:rsidRDefault="00287CE2" w:rsidP="003059A2">
      <w:pPr>
        <w:pStyle w:val="Bulletlist"/>
        <w:numPr>
          <w:ilvl w:val="0"/>
          <w:numId w:val="0"/>
        </w:numPr>
        <w:contextualSpacing w:val="0"/>
        <w:jc w:val="both"/>
      </w:pPr>
      <w:r w:rsidRPr="004F1571">
        <w:t xml:space="preserve">The subject amendment </w:t>
      </w:r>
      <w:r w:rsidR="00D23068" w:rsidRPr="004F1571">
        <w:t>is not required to consider Ministerial Direction 22</w:t>
      </w:r>
      <w:r w:rsidR="00DA4C04">
        <w:t xml:space="preserve"> –</w:t>
      </w:r>
      <w:r w:rsidR="00D23068" w:rsidRPr="004F1571">
        <w:t xml:space="preserve"> </w:t>
      </w:r>
      <w:r w:rsidR="003227E3" w:rsidRPr="004F1571">
        <w:t>Climate</w:t>
      </w:r>
      <w:r w:rsidR="00DA4C04">
        <w:t xml:space="preserve"> </w:t>
      </w:r>
      <w:r w:rsidR="003227E3" w:rsidRPr="004F1571">
        <w:t>Change Consideration under section 12A of the Act</w:t>
      </w:r>
      <w:r w:rsidR="004F1571">
        <w:t>.</w:t>
      </w:r>
      <w:r w:rsidR="00666C3C">
        <w:t xml:space="preserve"> The amendment </w:t>
      </w:r>
      <w:r w:rsidR="003059A2">
        <w:t xml:space="preserve">does </w:t>
      </w:r>
      <w:r w:rsidR="0062788E">
        <w:t>not</w:t>
      </w:r>
      <w:r w:rsidR="003059A2">
        <w:t>:</w:t>
      </w:r>
      <w:r w:rsidR="0062788E">
        <w:t xml:space="preserve"> </w:t>
      </w:r>
    </w:p>
    <w:p w14:paraId="69746895" w14:textId="2976D8DF" w:rsidR="003059A2" w:rsidRPr="008627A9" w:rsidRDefault="003059A2" w:rsidP="00B8275C">
      <w:pPr>
        <w:pStyle w:val="Bulletlist"/>
        <w:numPr>
          <w:ilvl w:val="2"/>
          <w:numId w:val="33"/>
        </w:numPr>
        <w:ind w:left="851" w:hanging="425"/>
        <w:contextualSpacing w:val="0"/>
        <w:jc w:val="both"/>
        <w:rPr>
          <w:b/>
          <w:bCs/>
          <w:sz w:val="28"/>
        </w:rPr>
      </w:pPr>
      <w:r>
        <w:t>R</w:t>
      </w:r>
      <w:r w:rsidR="0062788E">
        <w:t xml:space="preserve">ezone land </w:t>
      </w:r>
      <w:r>
        <w:t xml:space="preserve">from a non-urban zone to an urban zone; </w:t>
      </w:r>
      <w:r w:rsidR="0062788E">
        <w:t xml:space="preserve">or </w:t>
      </w:r>
    </w:p>
    <w:p w14:paraId="55CEABB4" w14:textId="7520709F" w:rsidR="0053153B" w:rsidRPr="00E2136D" w:rsidRDefault="003059A2" w:rsidP="00B8275C">
      <w:pPr>
        <w:pStyle w:val="Bulletlist"/>
        <w:numPr>
          <w:ilvl w:val="0"/>
          <w:numId w:val="33"/>
        </w:numPr>
        <w:contextualSpacing w:val="0"/>
        <w:jc w:val="both"/>
        <w:rPr>
          <w:b/>
          <w:bCs/>
          <w:sz w:val="28"/>
        </w:rPr>
      </w:pPr>
      <w:r>
        <w:t>E</w:t>
      </w:r>
      <w:r w:rsidR="0062788E">
        <w:t>nabl</w:t>
      </w:r>
      <w:r>
        <w:t>e</w:t>
      </w:r>
      <w:r w:rsidR="0062788E">
        <w:t xml:space="preserve"> </w:t>
      </w:r>
      <w:r w:rsidR="006015AC">
        <w:t>a significant change to</w:t>
      </w:r>
      <w:r>
        <w:t>,</w:t>
      </w:r>
      <w:r w:rsidR="006015AC">
        <w:t xml:space="preserve"> or intensification of the use and development of urban land</w:t>
      </w:r>
      <w:r>
        <w:t>;</w:t>
      </w:r>
      <w:r w:rsidR="00C92152">
        <w:t xml:space="preserve"> or a new use and development of land which may be exposed to </w:t>
      </w:r>
      <w:r w:rsidR="003A2ECD">
        <w:t xml:space="preserve">a natural hazard that arises </w:t>
      </w:r>
      <w:proofErr w:type="gramStart"/>
      <w:r w:rsidR="003A2ECD">
        <w:t>from, or</w:t>
      </w:r>
      <w:proofErr w:type="gramEnd"/>
      <w:r w:rsidR="003A2ECD">
        <w:t xml:space="preserve"> is likely to arise from the impacts of climate change.</w:t>
      </w:r>
      <w:r w:rsidR="003227E3" w:rsidRPr="004F1571">
        <w:rPr>
          <w:b/>
          <w:bCs/>
          <w:sz w:val="28"/>
        </w:rPr>
        <w:t xml:space="preserve">  </w:t>
      </w:r>
    </w:p>
    <w:p w14:paraId="2035F846" w14:textId="5CDE4374" w:rsidR="00A15C2E" w:rsidRDefault="00A15C2E" w:rsidP="00E14B8E">
      <w:pPr>
        <w:pStyle w:val="Heading3"/>
        <w:jc w:val="both"/>
      </w:pPr>
      <w:r>
        <w:t>Does the amendment address relevant bushfire risk?</w:t>
      </w:r>
    </w:p>
    <w:p w14:paraId="4C7FC610" w14:textId="2DCD2284" w:rsidR="0053153B" w:rsidRPr="00E2136D" w:rsidRDefault="00BF7470" w:rsidP="00E2136D">
      <w:pPr>
        <w:jc w:val="both"/>
        <w:rPr>
          <w:highlight w:val="lightGray"/>
        </w:rPr>
      </w:pPr>
      <w:r w:rsidRPr="00BF7470">
        <w:t>The amendment will not result in any significant risk to life, property, community infrastructure or the natural environment from bushfire.</w:t>
      </w:r>
    </w:p>
    <w:p w14:paraId="77EC5BB9" w14:textId="138ABCF5" w:rsidR="00A15C2E" w:rsidRDefault="00A15C2E" w:rsidP="00E14B8E">
      <w:pPr>
        <w:pStyle w:val="Heading3"/>
        <w:jc w:val="both"/>
      </w:pPr>
      <w:r>
        <w:t xml:space="preserve">Does the amendment comply with the requirements of any </w:t>
      </w:r>
      <w:r w:rsidR="00E1295A">
        <w:t xml:space="preserve">other </w:t>
      </w:r>
      <w:r>
        <w:t>Minister’s Direction applicable to the amendment?</w:t>
      </w:r>
    </w:p>
    <w:p w14:paraId="4209C7CD" w14:textId="2DFA48C1" w:rsidR="00612708" w:rsidRDefault="00612708" w:rsidP="00E14B8E">
      <w:pPr>
        <w:jc w:val="both"/>
      </w:pPr>
      <w:r w:rsidRPr="00612708">
        <w:t xml:space="preserve">The amendment complies with the requirements of the </w:t>
      </w:r>
      <w:r w:rsidRPr="008036E1">
        <w:rPr>
          <w:i/>
        </w:rPr>
        <w:t xml:space="preserve">Ministerial Direction </w:t>
      </w:r>
      <w:r w:rsidR="00DA00D1" w:rsidRPr="008036E1">
        <w:rPr>
          <w:i/>
        </w:rPr>
        <w:t xml:space="preserve">on the </w:t>
      </w:r>
      <w:r w:rsidRPr="008036E1">
        <w:rPr>
          <w:i/>
        </w:rPr>
        <w:t>Form and Content of Planning Schemes</w:t>
      </w:r>
      <w:r w:rsidRPr="00612708">
        <w:t xml:space="preserve"> (section 7(5) of the Act)</w:t>
      </w:r>
      <w:r w:rsidR="003059A2">
        <w:t>. The content has been drafted in line with this direction.</w:t>
      </w:r>
    </w:p>
    <w:p w14:paraId="5A327206" w14:textId="3F99E9CD" w:rsidR="000943D1" w:rsidRDefault="000943D1" w:rsidP="000943D1">
      <w:pPr>
        <w:jc w:val="both"/>
      </w:pPr>
      <w:r>
        <w:t xml:space="preserve">The amendment complies with the requirements of Ministerial Direction No. 11 </w:t>
      </w:r>
      <w:r w:rsidR="008627A9">
        <w:t>-</w:t>
      </w:r>
      <w:r>
        <w:t>Strategic Assessment of Amendments as evidenced in this Explanatory Report.</w:t>
      </w:r>
      <w:r w:rsidR="002672A4">
        <w:t xml:space="preserve"> The amendment is consistent with this direction which ensures a comprehensive strategic evaluation of a planning scheme amendment and the outcome it produces.</w:t>
      </w:r>
    </w:p>
    <w:p w14:paraId="599E877B" w14:textId="77777777" w:rsidR="003D44D7" w:rsidRDefault="000943D1" w:rsidP="00B8275C">
      <w:pPr>
        <w:jc w:val="both"/>
      </w:pPr>
      <w:r>
        <w:t>The amendment complies with Ministerial Direction 15 – The Planning Scheme Amendment Process</w:t>
      </w:r>
      <w:r w:rsidR="00B8275C">
        <w:t xml:space="preserve">. </w:t>
      </w:r>
    </w:p>
    <w:p w14:paraId="53F5B6C0" w14:textId="436B6E6F" w:rsidR="00A22995" w:rsidRDefault="000943D1" w:rsidP="00E14B8E">
      <w:pPr>
        <w:jc w:val="both"/>
      </w:pPr>
      <w:r>
        <w:t xml:space="preserve">The amendment complies with Ministerial Direction 17 – Localised Planning Statements. </w:t>
      </w:r>
      <w:r w:rsidR="002672A4">
        <w:t xml:space="preserve">The </w:t>
      </w:r>
      <w:r w:rsidR="002672A4">
        <w:rPr>
          <w:i/>
          <w:iCs/>
        </w:rPr>
        <w:t xml:space="preserve">Yarra Ranges Localised Planning Statement </w:t>
      </w:r>
      <w:r w:rsidR="002672A4">
        <w:t xml:space="preserve">recognises the </w:t>
      </w:r>
      <w:r w:rsidR="002672A4">
        <w:lastRenderedPageBreak/>
        <w:t>importance of</w:t>
      </w:r>
      <w:r w:rsidR="000D6388">
        <w:t xml:space="preserve"> the Planning Scheme</w:t>
      </w:r>
      <w:r w:rsidR="002672A4">
        <w:t xml:space="preserve"> identifying and protecting </w:t>
      </w:r>
      <w:r w:rsidR="000D6388">
        <w:t xml:space="preserve">sites of </w:t>
      </w:r>
      <w:r w:rsidR="002672A4">
        <w:t xml:space="preserve">cultural heritage </w:t>
      </w:r>
      <w:r w:rsidR="000D6388">
        <w:t xml:space="preserve">that contribute to the overall identity of Yarra Ranges. </w:t>
      </w:r>
    </w:p>
    <w:p w14:paraId="3FE82522" w14:textId="77777777" w:rsidR="00A22995" w:rsidRPr="00A22995" w:rsidRDefault="00A22995" w:rsidP="00E14B8E">
      <w:pPr>
        <w:jc w:val="both"/>
        <w:rPr>
          <w:b/>
          <w:bCs/>
          <w:sz w:val="28"/>
          <w:szCs w:val="28"/>
        </w:rPr>
      </w:pPr>
      <w:r w:rsidRPr="00A22995">
        <w:rPr>
          <w:b/>
          <w:bCs/>
          <w:sz w:val="28"/>
          <w:szCs w:val="28"/>
        </w:rPr>
        <w:t xml:space="preserve">Regional Strategy Plan </w:t>
      </w:r>
    </w:p>
    <w:p w14:paraId="26912731" w14:textId="043D54BA" w:rsidR="00A22995" w:rsidRDefault="00A22995" w:rsidP="00E14B8E">
      <w:pPr>
        <w:jc w:val="both"/>
        <w:rPr>
          <w:b/>
          <w:bCs/>
          <w:sz w:val="28"/>
          <w:szCs w:val="28"/>
        </w:rPr>
      </w:pPr>
      <w:r w:rsidRPr="00A22995">
        <w:rPr>
          <w:b/>
          <w:bCs/>
          <w:sz w:val="28"/>
          <w:szCs w:val="28"/>
        </w:rPr>
        <w:t xml:space="preserve">How does the amendment implement the </w:t>
      </w:r>
      <w:r w:rsidRPr="000943D1">
        <w:rPr>
          <w:b/>
          <w:bCs/>
          <w:i/>
          <w:iCs/>
          <w:sz w:val="28"/>
          <w:szCs w:val="28"/>
        </w:rPr>
        <w:t>Upper Yarra Valley and Dandenong Ranges Regional Strategy Plan</w:t>
      </w:r>
      <w:r w:rsidRPr="00A22995">
        <w:rPr>
          <w:b/>
          <w:bCs/>
          <w:sz w:val="28"/>
          <w:szCs w:val="28"/>
        </w:rPr>
        <w:t>?</w:t>
      </w:r>
    </w:p>
    <w:p w14:paraId="08C39F22" w14:textId="205A727E" w:rsidR="00A22995" w:rsidRPr="0005754D" w:rsidRDefault="003E265B" w:rsidP="00E14B8E">
      <w:pPr>
        <w:jc w:val="both"/>
        <w:rPr>
          <w:szCs w:val="24"/>
        </w:rPr>
      </w:pPr>
      <w:r>
        <w:rPr>
          <w:szCs w:val="24"/>
        </w:rPr>
        <w:t xml:space="preserve">The amendment </w:t>
      </w:r>
      <w:r w:rsidR="000D6388">
        <w:rPr>
          <w:szCs w:val="24"/>
        </w:rPr>
        <w:t>implements Clause 8</w:t>
      </w:r>
      <w:r w:rsidR="009B6AB6">
        <w:rPr>
          <w:szCs w:val="24"/>
        </w:rPr>
        <w:t>.02</w:t>
      </w:r>
      <w:r w:rsidR="000D6388">
        <w:rPr>
          <w:szCs w:val="24"/>
        </w:rPr>
        <w:t xml:space="preserve"> (Management of Sites of Cultural Significance) of the Regional Strategy Plan by </w:t>
      </w:r>
      <w:r w:rsidR="009B6AB6">
        <w:rPr>
          <w:szCs w:val="24"/>
        </w:rPr>
        <w:t xml:space="preserve">identifying and evaluating a further site of Cultural Significance and providing information on the best way to conserve, protect, and manage the site through </w:t>
      </w:r>
      <w:r w:rsidR="00CA7489">
        <w:rPr>
          <w:szCs w:val="24"/>
        </w:rPr>
        <w:t>introducing a heritage overlay and associated statement of significance into the Planning Scheme</w:t>
      </w:r>
      <w:r w:rsidR="009B6AB6">
        <w:rPr>
          <w:szCs w:val="24"/>
        </w:rPr>
        <w:t>.</w:t>
      </w:r>
    </w:p>
    <w:p w14:paraId="339D6F5E" w14:textId="48E71427" w:rsidR="005F194D" w:rsidRPr="008627A9" w:rsidRDefault="00A15C2E" w:rsidP="008627A9">
      <w:pPr>
        <w:pStyle w:val="Heading3"/>
        <w:jc w:val="both"/>
      </w:pPr>
      <w:r>
        <w:t>How does the amendment support or implement the Planning Policy Framework and any adopted State policy?</w:t>
      </w:r>
    </w:p>
    <w:p w14:paraId="605C592D" w14:textId="65A38D1B" w:rsidR="008C6DDF" w:rsidRPr="007D73EE" w:rsidRDefault="008C6DDF" w:rsidP="008C6DDF">
      <w:r>
        <w:t xml:space="preserve">The amendment supports </w:t>
      </w:r>
      <w:r w:rsidR="001E3A4D">
        <w:t xml:space="preserve">Pillar 3 </w:t>
      </w:r>
      <w:r w:rsidR="00F7395F">
        <w:t xml:space="preserve">(Great Places, Suburbs, and Towns) of </w:t>
      </w:r>
      <w:r w:rsidRPr="008C6DDF">
        <w:rPr>
          <w:i/>
          <w:iCs/>
        </w:rPr>
        <w:t>Plan for Victoria 2025</w:t>
      </w:r>
      <w:r w:rsidR="007D73EE">
        <w:rPr>
          <w:i/>
          <w:iCs/>
        </w:rPr>
        <w:t>,</w:t>
      </w:r>
      <w:r w:rsidR="006633A0">
        <w:rPr>
          <w:i/>
          <w:iCs/>
        </w:rPr>
        <w:t xml:space="preserve"> </w:t>
      </w:r>
      <w:r w:rsidR="006633A0">
        <w:t xml:space="preserve">by enabling heritage </w:t>
      </w:r>
      <w:r w:rsidR="00D9040E">
        <w:t>protection of a significant site.</w:t>
      </w:r>
      <w:r w:rsidR="007D73EE">
        <w:rPr>
          <w:i/>
          <w:iCs/>
        </w:rPr>
        <w:t xml:space="preserve"> </w:t>
      </w:r>
    </w:p>
    <w:p w14:paraId="1C732FE4" w14:textId="3405A06C" w:rsidR="0047028F" w:rsidRPr="008627A9" w:rsidRDefault="00F23AD1" w:rsidP="00E14B8E">
      <w:pPr>
        <w:jc w:val="both"/>
      </w:pPr>
      <w:r>
        <w:t xml:space="preserve">The amendment also supports and implements </w:t>
      </w:r>
      <w:r w:rsidR="00343230">
        <w:t xml:space="preserve">the following </w:t>
      </w:r>
      <w:r w:rsidR="008615E7">
        <w:t>clauses of the Planning Policy Framework:</w:t>
      </w:r>
    </w:p>
    <w:p w14:paraId="10C8CC21" w14:textId="2320BB7A" w:rsidR="00612708" w:rsidRDefault="00612708" w:rsidP="008627A9">
      <w:pPr>
        <w:pStyle w:val="ListParagraph"/>
        <w:numPr>
          <w:ilvl w:val="0"/>
          <w:numId w:val="34"/>
        </w:numPr>
        <w:contextualSpacing w:val="0"/>
        <w:jc w:val="both"/>
      </w:pPr>
      <w:r>
        <w:t xml:space="preserve">Clause 15.01-5S Neighbourhood Character: recognise, support and protect neighbourhood character, cultural identity and a sense of place. </w:t>
      </w:r>
    </w:p>
    <w:p w14:paraId="024BD34D" w14:textId="7D229D9E" w:rsidR="00612708" w:rsidRDefault="00612708" w:rsidP="008627A9">
      <w:pPr>
        <w:pStyle w:val="ListParagraph"/>
        <w:numPr>
          <w:ilvl w:val="0"/>
          <w:numId w:val="34"/>
        </w:numPr>
        <w:contextualSpacing w:val="0"/>
        <w:jc w:val="both"/>
      </w:pPr>
      <w:r>
        <w:t xml:space="preserve">Clause 15.03-1S Heritage Conservation: ensure the conservation of places of heritage significance. Relevant strategies identified to achieving this objective include: </w:t>
      </w:r>
    </w:p>
    <w:p w14:paraId="3CA6D898" w14:textId="77777777" w:rsidR="00946357" w:rsidRDefault="00612708" w:rsidP="00946357">
      <w:pPr>
        <w:pStyle w:val="ListParagraph"/>
        <w:numPr>
          <w:ilvl w:val="0"/>
          <w:numId w:val="24"/>
        </w:numPr>
        <w:contextualSpacing w:val="0"/>
        <w:jc w:val="both"/>
      </w:pPr>
      <w:r>
        <w:t xml:space="preserve">Identify, assess and document places of natural and cultural heritage significance as a basis for their inclusion in the planning scheme. </w:t>
      </w:r>
    </w:p>
    <w:p w14:paraId="70D62439" w14:textId="77777777" w:rsidR="00946357" w:rsidRDefault="00612708" w:rsidP="00946357">
      <w:pPr>
        <w:pStyle w:val="ListParagraph"/>
        <w:numPr>
          <w:ilvl w:val="0"/>
          <w:numId w:val="24"/>
        </w:numPr>
        <w:contextualSpacing w:val="0"/>
        <w:jc w:val="both"/>
      </w:pPr>
      <w:r>
        <w:t>Provide for the conservation and enhancement of those places which are of, aesthetic, archaeological, architectural, cultural, scientific, or social significance.</w:t>
      </w:r>
      <w:r w:rsidR="00D44442" w:rsidRPr="00D44442">
        <w:t xml:space="preserve"> </w:t>
      </w:r>
    </w:p>
    <w:p w14:paraId="3C4655A3" w14:textId="5A7FB881" w:rsidR="00D44442" w:rsidRDefault="00D44442" w:rsidP="00946357">
      <w:pPr>
        <w:pStyle w:val="ListParagraph"/>
        <w:numPr>
          <w:ilvl w:val="0"/>
          <w:numId w:val="24"/>
        </w:numPr>
        <w:ind w:left="709" w:hanging="425"/>
        <w:contextualSpacing w:val="0"/>
        <w:jc w:val="both"/>
      </w:pPr>
      <w:r>
        <w:t>Clause 15.03-1L Heritage, applies to all land affected by the Heritage Overlay and contains general, residential, commercial, alterations and additions and signs strategies. Some of the key strategies include:</w:t>
      </w:r>
    </w:p>
    <w:p w14:paraId="71503371" w14:textId="77777777" w:rsidR="00D44442" w:rsidRDefault="00D44442" w:rsidP="00946357">
      <w:pPr>
        <w:pStyle w:val="ListParagraph"/>
        <w:numPr>
          <w:ilvl w:val="0"/>
          <w:numId w:val="25"/>
        </w:numPr>
        <w:contextualSpacing w:val="0"/>
        <w:jc w:val="both"/>
      </w:pPr>
      <w:r>
        <w:t>Integrating development with surrounding heritage buildings and streetscape.</w:t>
      </w:r>
    </w:p>
    <w:p w14:paraId="2CD25F1A" w14:textId="77777777" w:rsidR="00D44442" w:rsidRDefault="00D44442" w:rsidP="00946357">
      <w:pPr>
        <w:pStyle w:val="ListParagraph"/>
        <w:numPr>
          <w:ilvl w:val="0"/>
          <w:numId w:val="25"/>
        </w:numPr>
        <w:contextualSpacing w:val="0"/>
        <w:jc w:val="both"/>
      </w:pPr>
      <w:r>
        <w:t>Discouraging changes to the principal facade or principal visible roof form.</w:t>
      </w:r>
    </w:p>
    <w:p w14:paraId="62EAFB59" w14:textId="042834E8" w:rsidR="0047028F" w:rsidRDefault="00D44442" w:rsidP="00946357">
      <w:pPr>
        <w:pStyle w:val="ListParagraph"/>
        <w:numPr>
          <w:ilvl w:val="0"/>
          <w:numId w:val="25"/>
        </w:numPr>
        <w:contextualSpacing w:val="0"/>
        <w:jc w:val="both"/>
      </w:pPr>
      <w:r>
        <w:t>Discouraging the painting or rendering of unpainted surfaces.</w:t>
      </w:r>
    </w:p>
    <w:p w14:paraId="70053A70" w14:textId="77777777" w:rsidR="000320DA" w:rsidRDefault="000320DA" w:rsidP="000320DA">
      <w:pPr>
        <w:pStyle w:val="Heading3"/>
      </w:pPr>
      <w:r>
        <w:t>Is the amendment consistent with the delivery of the relevant housing target set out in the Planning Policy Framework?</w:t>
      </w:r>
    </w:p>
    <w:p w14:paraId="7DB9E49D" w14:textId="77777777" w:rsidR="001E583E" w:rsidRPr="008627A9" w:rsidRDefault="001E583E" w:rsidP="001E583E">
      <w:pPr>
        <w:pStyle w:val="Heading3"/>
        <w:jc w:val="both"/>
        <w:rPr>
          <w:b w:val="0"/>
          <w:bCs w:val="0"/>
          <w:sz w:val="24"/>
          <w:szCs w:val="24"/>
        </w:rPr>
      </w:pPr>
      <w:r w:rsidRPr="008627A9">
        <w:rPr>
          <w:b w:val="0"/>
          <w:bCs w:val="0"/>
          <w:sz w:val="24"/>
          <w:szCs w:val="24"/>
        </w:rPr>
        <w:lastRenderedPageBreak/>
        <w:t>The land is situated within a residential zone and has previously been subdivided and partially sold to the adjoining retirement village on two occasions, resulting in the construction of several new dwellings. While the application of a Heritage Overlay does not prevent further residential development, any future proposal would need to be assessed on its individual merits. Additionally, the land is affected by both a Significant Landscape Overlay and a Bushfire Management Overlay, which may constrain its capacity to contribute to housing supply targets.</w:t>
      </w:r>
    </w:p>
    <w:p w14:paraId="5F845F0F" w14:textId="77777777" w:rsidR="001E583E" w:rsidRPr="008627A9" w:rsidRDefault="001E583E" w:rsidP="001E583E">
      <w:pPr>
        <w:pStyle w:val="Heading3"/>
        <w:jc w:val="both"/>
        <w:rPr>
          <w:b w:val="0"/>
          <w:bCs w:val="0"/>
          <w:sz w:val="24"/>
          <w:szCs w:val="24"/>
        </w:rPr>
      </w:pPr>
      <w:r w:rsidRPr="008627A9">
        <w:rPr>
          <w:b w:val="0"/>
          <w:bCs w:val="0"/>
          <w:sz w:val="24"/>
          <w:szCs w:val="24"/>
        </w:rPr>
        <w:t xml:space="preserve">Overall, and in line with state strategic planning objectives, heritage conservation and preservation remain important considerations. Not all residentially zoned land will be suitable for meeting housing targets. However, Council’s </w:t>
      </w:r>
      <w:r w:rsidRPr="008627A9">
        <w:rPr>
          <w:b w:val="0"/>
          <w:bCs w:val="0"/>
          <w:i/>
          <w:iCs/>
          <w:sz w:val="24"/>
          <w:szCs w:val="24"/>
        </w:rPr>
        <w:t>Housing Strategy 2024</w:t>
      </w:r>
      <w:r w:rsidRPr="008627A9">
        <w:rPr>
          <w:b w:val="0"/>
          <w:bCs w:val="0"/>
          <w:sz w:val="24"/>
          <w:szCs w:val="24"/>
        </w:rPr>
        <w:t xml:space="preserve"> identifies significant opportunities for additional housing within the activity centres of Lilydale, Chirnside Park, and Mooroolbark.</w:t>
      </w:r>
    </w:p>
    <w:p w14:paraId="33A46FC7" w14:textId="1BE3F276" w:rsidR="00A15C2E" w:rsidRDefault="00A15C2E" w:rsidP="00E14B8E">
      <w:pPr>
        <w:pStyle w:val="Heading3"/>
        <w:jc w:val="both"/>
      </w:pPr>
      <w:r>
        <w:t>How does the amendment support or implement the Municipal Planning Strategy?</w:t>
      </w:r>
    </w:p>
    <w:p w14:paraId="1F2C5BFF" w14:textId="5C6B4011" w:rsidR="0047028F" w:rsidRDefault="00281627" w:rsidP="0005754D">
      <w:pPr>
        <w:jc w:val="both"/>
      </w:pPr>
      <w:r>
        <w:t xml:space="preserve">The </w:t>
      </w:r>
      <w:r w:rsidR="002B063B">
        <w:t xml:space="preserve">proposed </w:t>
      </w:r>
      <w:r>
        <w:t xml:space="preserve">amendment supports the Municipal Planning Strategy, specifically Clause 02.03-5 Built environment and heritage by </w:t>
      </w:r>
      <w:r w:rsidR="00C86D27">
        <w:t xml:space="preserve">recognising and protecting </w:t>
      </w:r>
      <w:r w:rsidR="00AD05B8">
        <w:t xml:space="preserve">an important heritage place that </w:t>
      </w:r>
      <w:r w:rsidR="0079798C">
        <w:t>contributes to the identity of Yarra Ranges.</w:t>
      </w:r>
    </w:p>
    <w:p w14:paraId="19A03445" w14:textId="3C6F9177" w:rsidR="00A15C2E" w:rsidRDefault="00A15C2E" w:rsidP="00E14B8E">
      <w:pPr>
        <w:pStyle w:val="Heading3"/>
        <w:jc w:val="both"/>
      </w:pPr>
      <w:r>
        <w:t>Does the amendment make proper use of the Victoria Planning Provisions?</w:t>
      </w:r>
    </w:p>
    <w:p w14:paraId="222E9C1F" w14:textId="6E049BEB" w:rsidR="00D777B1" w:rsidRDefault="00FE0A4E" w:rsidP="00D777B1">
      <w:pPr>
        <w:jc w:val="both"/>
      </w:pPr>
      <w:r w:rsidRPr="00FE0A4E">
        <w:t xml:space="preserve">The </w:t>
      </w:r>
      <w:r w:rsidR="002B063B">
        <w:t>proposed a</w:t>
      </w:r>
      <w:r w:rsidR="002B063B" w:rsidRPr="00FE0A4E">
        <w:t xml:space="preserve">mendment </w:t>
      </w:r>
      <w:r w:rsidRPr="00FE0A4E">
        <w:t xml:space="preserve">makes appropriate use of the Victoria Planning Provisions </w:t>
      </w:r>
      <w:r w:rsidR="0079798C">
        <w:t xml:space="preserve">by applying the </w:t>
      </w:r>
      <w:r w:rsidR="00D777B1">
        <w:t>H</w:t>
      </w:r>
      <w:r w:rsidR="0079798C">
        <w:t xml:space="preserve">eritage </w:t>
      </w:r>
      <w:r w:rsidR="00D777B1">
        <w:t>O</w:t>
      </w:r>
      <w:r w:rsidR="0079798C">
        <w:t xml:space="preserve">verlay. The </w:t>
      </w:r>
      <w:r w:rsidR="00D777B1">
        <w:t>Heritage Overlay</w:t>
      </w:r>
      <w:r w:rsidR="00704E5D">
        <w:t xml:space="preserve"> is the appropriate planning mechanism to protect the heritage values of the property as it will require a planning permit for buildings and works, including demolition, that could affect the significance of the property.</w:t>
      </w:r>
    </w:p>
    <w:p w14:paraId="13791095" w14:textId="03D21058" w:rsidR="00A15C2E" w:rsidRDefault="00A15C2E" w:rsidP="00E14B8E">
      <w:pPr>
        <w:pStyle w:val="Heading3"/>
        <w:jc w:val="both"/>
      </w:pPr>
      <w:r>
        <w:t>How does the amendment address the views of any relevant agency?</w:t>
      </w:r>
    </w:p>
    <w:p w14:paraId="2135E007" w14:textId="4B149E6B" w:rsidR="0047028F" w:rsidRDefault="00B57117" w:rsidP="0005754D">
      <w:pPr>
        <w:jc w:val="both"/>
      </w:pPr>
      <w:r w:rsidRPr="00B57117">
        <w:t xml:space="preserve">The prescribed government agencies will be notified of the </w:t>
      </w:r>
      <w:r w:rsidR="002B063B">
        <w:t>a</w:t>
      </w:r>
      <w:r w:rsidR="002B063B" w:rsidRPr="00B57117">
        <w:t xml:space="preserve">mendment </w:t>
      </w:r>
      <w:r w:rsidRPr="00B57117">
        <w:t>and given an opportunity to make submissions</w:t>
      </w:r>
      <w:r w:rsidR="008627A9">
        <w:t>.</w:t>
      </w:r>
    </w:p>
    <w:p w14:paraId="5740C54D" w14:textId="5182C7C0" w:rsidR="00A15C2E" w:rsidRDefault="00A15C2E" w:rsidP="00E14B8E">
      <w:pPr>
        <w:pStyle w:val="Heading3"/>
        <w:jc w:val="both"/>
      </w:pPr>
      <w:r>
        <w:t>Does the amendment address relevant requirements of the Transport Integration Act 2010?</w:t>
      </w:r>
    </w:p>
    <w:p w14:paraId="4CF1CE5A" w14:textId="496E58D3" w:rsidR="00B57117" w:rsidRPr="00B57117" w:rsidRDefault="00B57117" w:rsidP="00E14B8E">
      <w:pPr>
        <w:jc w:val="both"/>
      </w:pPr>
      <w:r w:rsidRPr="00B57117">
        <w:t xml:space="preserve">The amendment will not impact the relevant requirements of the </w:t>
      </w:r>
      <w:r w:rsidRPr="005E7D6A">
        <w:rPr>
          <w:i/>
          <w:iCs/>
        </w:rPr>
        <w:t>Transport Integration Act 2010</w:t>
      </w:r>
      <w:r w:rsidRPr="00B57117">
        <w:t xml:space="preserve">, </w:t>
      </w:r>
      <w:proofErr w:type="gramStart"/>
      <w:r w:rsidRPr="00B57117">
        <w:t>in particular the</w:t>
      </w:r>
      <w:proofErr w:type="gramEnd"/>
      <w:r w:rsidRPr="00B57117">
        <w:t xml:space="preserve"> need for the transport system to provide for the effective integration of transport and land use.</w:t>
      </w:r>
    </w:p>
    <w:p w14:paraId="5BEF10F2" w14:textId="77777777" w:rsidR="005603B4" w:rsidRDefault="005603B4" w:rsidP="005603B4">
      <w:pPr>
        <w:pStyle w:val="Heading3"/>
      </w:pPr>
      <w:r w:rsidRPr="00FC21DA">
        <w:t xml:space="preserve">How does the amendment have regard to the principles set out in </w:t>
      </w:r>
      <w:r>
        <w:t>the</w:t>
      </w:r>
      <w:r w:rsidRPr="00FC21DA">
        <w:t xml:space="preserve"> </w:t>
      </w:r>
      <w:bookmarkStart w:id="0" w:name="_Hlk193114501"/>
      <w:r w:rsidRPr="00FC21DA">
        <w:rPr>
          <w:i/>
        </w:rPr>
        <w:t>Yarra River Protection (</w:t>
      </w:r>
      <w:proofErr w:type="spellStart"/>
      <w:r w:rsidRPr="00FC21DA">
        <w:rPr>
          <w:i/>
        </w:rPr>
        <w:t>Wilip</w:t>
      </w:r>
      <w:proofErr w:type="spellEnd"/>
      <w:r w:rsidRPr="00FC21DA">
        <w:rPr>
          <w:i/>
        </w:rPr>
        <w:t xml:space="preserve">-gin Birrarung </w:t>
      </w:r>
      <w:proofErr w:type="spellStart"/>
      <w:r w:rsidRPr="00FC21DA">
        <w:rPr>
          <w:i/>
        </w:rPr>
        <w:t>murron</w:t>
      </w:r>
      <w:proofErr w:type="spellEnd"/>
      <w:r w:rsidRPr="00FC21DA">
        <w:rPr>
          <w:i/>
        </w:rPr>
        <w:t>) Act 2017</w:t>
      </w:r>
      <w:r w:rsidRPr="00FC21DA">
        <w:t xml:space="preserve"> </w:t>
      </w:r>
      <w:bookmarkEnd w:id="0"/>
      <w:r w:rsidRPr="00FC21DA">
        <w:t>in relation to Yarra River land</w:t>
      </w:r>
      <w:r>
        <w:t xml:space="preserve"> and other land, the use or development </w:t>
      </w:r>
      <w:r>
        <w:lastRenderedPageBreak/>
        <w:t>of which may affect Yarra River land?</w:t>
      </w:r>
    </w:p>
    <w:p w14:paraId="743BE5D9" w14:textId="57F0F2DE" w:rsidR="0047028F" w:rsidRDefault="00583C3E" w:rsidP="008D4934">
      <w:r>
        <w:t xml:space="preserve">The amendment does not have the potential to affect Yarra River land. Given that the amendment </w:t>
      </w:r>
      <w:r w:rsidR="008D4934">
        <w:t xml:space="preserve">affects land outside the hydrological catchment of Birrarung, there is no expectation to provide an assessment against the principles set out in the </w:t>
      </w:r>
      <w:r w:rsidR="008D4934" w:rsidRPr="008D4934">
        <w:rPr>
          <w:i/>
          <w:iCs/>
        </w:rPr>
        <w:t>Yarra River Protection (</w:t>
      </w:r>
      <w:proofErr w:type="spellStart"/>
      <w:r w:rsidR="008D4934" w:rsidRPr="008D4934">
        <w:rPr>
          <w:i/>
          <w:iCs/>
        </w:rPr>
        <w:t>Wilip</w:t>
      </w:r>
      <w:proofErr w:type="spellEnd"/>
      <w:r w:rsidR="008D4934" w:rsidRPr="008D4934">
        <w:rPr>
          <w:i/>
          <w:iCs/>
        </w:rPr>
        <w:t xml:space="preserve">-gin Birrarung </w:t>
      </w:r>
      <w:proofErr w:type="spellStart"/>
      <w:r w:rsidR="008D4934" w:rsidRPr="008D4934">
        <w:rPr>
          <w:i/>
          <w:iCs/>
        </w:rPr>
        <w:t>murron</w:t>
      </w:r>
      <w:proofErr w:type="spellEnd"/>
      <w:r w:rsidR="008D4934" w:rsidRPr="008D4934">
        <w:rPr>
          <w:i/>
          <w:iCs/>
        </w:rPr>
        <w:t>) Act 2017</w:t>
      </w:r>
      <w:r w:rsidR="008D4934">
        <w:t>.</w:t>
      </w:r>
    </w:p>
    <w:p w14:paraId="544B578E" w14:textId="2AE026C4" w:rsidR="00A15C2E" w:rsidRDefault="00A15C2E" w:rsidP="00E14B8E">
      <w:pPr>
        <w:pStyle w:val="Heading2"/>
        <w:jc w:val="both"/>
      </w:pPr>
      <w:r>
        <w:t>Resource and administrative costs</w:t>
      </w:r>
    </w:p>
    <w:p w14:paraId="696AB860" w14:textId="77777777" w:rsidR="00A15C2E" w:rsidRDefault="00A15C2E" w:rsidP="00E14B8E">
      <w:pPr>
        <w:pStyle w:val="Heading3"/>
        <w:jc w:val="both"/>
      </w:pPr>
      <w:r>
        <w:t>What impact will the new planning provisions have on the resource and administrative costs of the responsible authority?</w:t>
      </w:r>
    </w:p>
    <w:p w14:paraId="7A9884EF" w14:textId="7737843F" w:rsidR="009A4561" w:rsidRDefault="00B57117" w:rsidP="00E14B8E">
      <w:pPr>
        <w:widowControl/>
        <w:autoSpaceDE/>
        <w:autoSpaceDN/>
        <w:spacing w:after="200"/>
        <w:jc w:val="both"/>
      </w:pPr>
      <w:r w:rsidRPr="00B57117">
        <w:t>The amendment will have no significant impact on resource and administrative costs.  There will be a minor increase in the number of circumstances where a planning permit will be required.  This can be accommodated within existing resources.</w:t>
      </w:r>
      <w:r>
        <w:t xml:space="preserve"> </w:t>
      </w:r>
    </w:p>
    <w:p w14:paraId="641F81CE" w14:textId="77777777" w:rsidR="009F7C82" w:rsidRDefault="009F7C82">
      <w:pPr>
        <w:widowControl/>
        <w:autoSpaceDE/>
        <w:autoSpaceDN/>
        <w:spacing w:before="0" w:after="200"/>
        <w:rPr>
          <w:b/>
          <w:bCs/>
          <w:sz w:val="32"/>
        </w:rPr>
      </w:pPr>
      <w:r>
        <w:br w:type="page"/>
      </w:r>
    </w:p>
    <w:p w14:paraId="4830B2AB" w14:textId="44469DC6" w:rsidR="00A15C2E" w:rsidRDefault="00A15C2E" w:rsidP="009A4561">
      <w:pPr>
        <w:pStyle w:val="Heading2"/>
      </w:pPr>
      <w:r>
        <w:lastRenderedPageBreak/>
        <w:t>A</w:t>
      </w:r>
      <w:r w:rsidR="009A4561">
        <w:t>ttachment</w:t>
      </w:r>
      <w:r>
        <w:t xml:space="preserve"> </w:t>
      </w:r>
      <w:r w:rsidR="00DA3342">
        <w:t>1</w:t>
      </w:r>
      <w:r>
        <w:t xml:space="preserve"> </w:t>
      </w:r>
      <w:r w:rsidR="00F741A5">
        <w:t>–</w:t>
      </w:r>
      <w:r>
        <w:t xml:space="preserve"> Mapping reference table</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46"/>
        <w:gridCol w:w="1231"/>
        <w:gridCol w:w="1561"/>
        <w:gridCol w:w="1210"/>
        <w:gridCol w:w="1344"/>
        <w:gridCol w:w="1344"/>
        <w:gridCol w:w="1523"/>
      </w:tblGrid>
      <w:tr w:rsidR="00302296" w:rsidRPr="009A4561" w14:paraId="18A0C2F3" w14:textId="77777777" w:rsidTr="00DA3342">
        <w:trPr>
          <w:trHeight w:val="579"/>
          <w:tblHeader/>
        </w:trPr>
        <w:tc>
          <w:tcPr>
            <w:tcW w:w="1246" w:type="dxa"/>
            <w:shd w:val="clear" w:color="auto" w:fill="BFBFBF" w:themeFill="background1" w:themeFillShade="BF"/>
          </w:tcPr>
          <w:p w14:paraId="0F432F0E" w14:textId="77777777" w:rsidR="00302296" w:rsidRPr="00DE17C1" w:rsidRDefault="00302296" w:rsidP="00DE17C1">
            <w:pPr>
              <w:pStyle w:val="Tableheader"/>
            </w:pPr>
            <w:r w:rsidRPr="00DE17C1">
              <w:t xml:space="preserve">Location </w:t>
            </w:r>
          </w:p>
        </w:tc>
        <w:tc>
          <w:tcPr>
            <w:tcW w:w="1231" w:type="dxa"/>
            <w:shd w:val="clear" w:color="auto" w:fill="BFBFBF" w:themeFill="background1" w:themeFillShade="BF"/>
          </w:tcPr>
          <w:p w14:paraId="1F70D2E7" w14:textId="77777777" w:rsidR="00302296" w:rsidRPr="00DE17C1" w:rsidRDefault="00302296" w:rsidP="00DE17C1">
            <w:pPr>
              <w:pStyle w:val="Tableheader"/>
            </w:pPr>
            <w:r w:rsidRPr="00DE17C1">
              <w:t>Land /Area Affected</w:t>
            </w:r>
          </w:p>
        </w:tc>
        <w:tc>
          <w:tcPr>
            <w:tcW w:w="1561" w:type="dxa"/>
            <w:shd w:val="clear" w:color="auto" w:fill="BFBFBF" w:themeFill="background1" w:themeFillShade="BF"/>
          </w:tcPr>
          <w:p w14:paraId="46579ED7" w14:textId="77777777" w:rsidR="00302296" w:rsidRPr="00DE17C1" w:rsidRDefault="00302296" w:rsidP="00DE17C1">
            <w:pPr>
              <w:pStyle w:val="Tableheader"/>
            </w:pPr>
            <w:r w:rsidRPr="00DE17C1">
              <w:t>Mapping Reference</w:t>
            </w:r>
          </w:p>
        </w:tc>
        <w:tc>
          <w:tcPr>
            <w:tcW w:w="1210" w:type="dxa"/>
            <w:shd w:val="clear" w:color="auto" w:fill="BFBFBF" w:themeFill="background1" w:themeFillShade="BF"/>
          </w:tcPr>
          <w:p w14:paraId="2A757D6A" w14:textId="77777777" w:rsidR="00302296" w:rsidRPr="00DE17C1" w:rsidRDefault="00302296" w:rsidP="00DE17C1">
            <w:pPr>
              <w:pStyle w:val="Tableheader"/>
            </w:pPr>
            <w:r w:rsidRPr="00DE17C1">
              <w:t>Address</w:t>
            </w:r>
          </w:p>
        </w:tc>
        <w:tc>
          <w:tcPr>
            <w:tcW w:w="1344" w:type="dxa"/>
            <w:shd w:val="clear" w:color="auto" w:fill="BFBFBF" w:themeFill="background1" w:themeFillShade="BF"/>
          </w:tcPr>
          <w:p w14:paraId="78592724" w14:textId="77777777" w:rsidR="00302296" w:rsidRPr="00DE17C1" w:rsidRDefault="00302296" w:rsidP="00DE17C1">
            <w:pPr>
              <w:pStyle w:val="Tableheader"/>
            </w:pPr>
            <w:r w:rsidRPr="00DE17C1">
              <w:t>Proposed Zone changes</w:t>
            </w:r>
          </w:p>
        </w:tc>
        <w:tc>
          <w:tcPr>
            <w:tcW w:w="1344" w:type="dxa"/>
            <w:shd w:val="clear" w:color="auto" w:fill="BFBFBF" w:themeFill="background1" w:themeFillShade="BF"/>
          </w:tcPr>
          <w:p w14:paraId="0F3F95E7" w14:textId="77777777" w:rsidR="00302296" w:rsidRPr="00DE17C1" w:rsidRDefault="00302296" w:rsidP="00DE17C1">
            <w:pPr>
              <w:pStyle w:val="Tableheader"/>
            </w:pPr>
            <w:r w:rsidRPr="00DE17C1">
              <w:t>Proposed Overlay changes</w:t>
            </w:r>
          </w:p>
        </w:tc>
        <w:tc>
          <w:tcPr>
            <w:tcW w:w="1523" w:type="dxa"/>
            <w:shd w:val="clear" w:color="auto" w:fill="BFBFBF" w:themeFill="background1" w:themeFillShade="BF"/>
          </w:tcPr>
          <w:p w14:paraId="15668248" w14:textId="77777777" w:rsidR="00302296" w:rsidRPr="00DE17C1" w:rsidRDefault="00302296" w:rsidP="00DE17C1">
            <w:pPr>
              <w:pStyle w:val="Tableheader"/>
            </w:pPr>
            <w:r w:rsidRPr="00DE17C1">
              <w:t>Proposed deletion</w:t>
            </w:r>
            <w:r w:rsidR="007E6F44" w:rsidRPr="00DE17C1">
              <w:t xml:space="preserve"> changes</w:t>
            </w:r>
          </w:p>
        </w:tc>
      </w:tr>
      <w:tr w:rsidR="009A4561" w:rsidRPr="009A4561" w14:paraId="5A2C7CC7" w14:textId="77777777" w:rsidTr="00DA3342">
        <w:trPr>
          <w:trHeight w:val="910"/>
        </w:trPr>
        <w:tc>
          <w:tcPr>
            <w:tcW w:w="1246" w:type="dxa"/>
          </w:tcPr>
          <w:p w14:paraId="6A639FFE" w14:textId="2A1C1386" w:rsidR="009A4561" w:rsidRPr="00DA3342" w:rsidRDefault="00B57117" w:rsidP="00DE17C1">
            <w:pPr>
              <w:pStyle w:val="Tabletext"/>
              <w:rPr>
                <w:color w:val="auto"/>
              </w:rPr>
            </w:pPr>
            <w:r w:rsidRPr="00DA3342">
              <w:rPr>
                <w:color w:val="auto"/>
              </w:rPr>
              <w:t>Lilydale</w:t>
            </w:r>
          </w:p>
        </w:tc>
        <w:tc>
          <w:tcPr>
            <w:tcW w:w="1231" w:type="dxa"/>
          </w:tcPr>
          <w:p w14:paraId="4E4BCD74" w14:textId="77777777" w:rsidR="009A4561" w:rsidRPr="00DA3342" w:rsidRDefault="00B57117" w:rsidP="00DE17C1">
            <w:pPr>
              <w:pStyle w:val="Tabletext"/>
              <w:rPr>
                <w:color w:val="auto"/>
              </w:rPr>
            </w:pPr>
            <w:r w:rsidRPr="00DA3342">
              <w:rPr>
                <w:color w:val="auto"/>
              </w:rPr>
              <w:t>0.814 ha</w:t>
            </w:r>
          </w:p>
          <w:p w14:paraId="0AFDCA90" w14:textId="311DECB0" w:rsidR="00B57117" w:rsidRPr="00DA3342" w:rsidRDefault="00B57117" w:rsidP="00DE17C1">
            <w:pPr>
              <w:pStyle w:val="Tabletext"/>
              <w:rPr>
                <w:color w:val="auto"/>
              </w:rPr>
            </w:pPr>
            <w:r w:rsidRPr="00DA3342">
              <w:rPr>
                <w:color w:val="auto"/>
              </w:rPr>
              <w:t xml:space="preserve">Land bounded by Mangans Road and Ludlow </w:t>
            </w:r>
            <w:r w:rsidR="001E0CAA" w:rsidRPr="00DA3342">
              <w:rPr>
                <w:color w:val="auto"/>
              </w:rPr>
              <w:t>Crescent</w:t>
            </w:r>
            <w:r w:rsidRPr="00DA3342">
              <w:rPr>
                <w:color w:val="auto"/>
              </w:rPr>
              <w:t>, Lilydale</w:t>
            </w:r>
          </w:p>
        </w:tc>
        <w:tc>
          <w:tcPr>
            <w:tcW w:w="1561" w:type="dxa"/>
          </w:tcPr>
          <w:p w14:paraId="4550B062" w14:textId="03FB133B" w:rsidR="009A4561" w:rsidRPr="00DA3342" w:rsidRDefault="00B57117" w:rsidP="00DE17C1">
            <w:pPr>
              <w:pStyle w:val="Tabletext"/>
              <w:rPr>
                <w:color w:val="auto"/>
              </w:rPr>
            </w:pPr>
            <w:r w:rsidRPr="00DA3342">
              <w:rPr>
                <w:color w:val="auto"/>
              </w:rPr>
              <w:t xml:space="preserve">001hoMap41 Exhibition </w:t>
            </w:r>
          </w:p>
        </w:tc>
        <w:tc>
          <w:tcPr>
            <w:tcW w:w="1210" w:type="dxa"/>
          </w:tcPr>
          <w:p w14:paraId="438B70AD" w14:textId="03021A56" w:rsidR="009A4561" w:rsidRPr="00DA3342" w:rsidRDefault="00B57117" w:rsidP="00DE17C1">
            <w:pPr>
              <w:pStyle w:val="Tabletext"/>
              <w:rPr>
                <w:color w:val="auto"/>
              </w:rPr>
            </w:pPr>
            <w:r w:rsidRPr="00DA3342">
              <w:rPr>
                <w:color w:val="auto"/>
              </w:rPr>
              <w:t>131 Mangans Road, Lilydale</w:t>
            </w:r>
          </w:p>
        </w:tc>
        <w:tc>
          <w:tcPr>
            <w:tcW w:w="1344" w:type="dxa"/>
          </w:tcPr>
          <w:p w14:paraId="576E64DA" w14:textId="640DE9DC" w:rsidR="009A4561" w:rsidRPr="00DA3342" w:rsidRDefault="009A4561" w:rsidP="00DE17C1">
            <w:pPr>
              <w:pStyle w:val="Tabletext"/>
              <w:rPr>
                <w:color w:val="auto"/>
              </w:rPr>
            </w:pPr>
          </w:p>
        </w:tc>
        <w:tc>
          <w:tcPr>
            <w:tcW w:w="1344" w:type="dxa"/>
          </w:tcPr>
          <w:p w14:paraId="411FEE64" w14:textId="2A6FFE90" w:rsidR="009A4561" w:rsidRPr="00DA3342" w:rsidRDefault="00DA3342" w:rsidP="00DE17C1">
            <w:pPr>
              <w:pStyle w:val="Tabletext"/>
              <w:rPr>
                <w:color w:val="auto"/>
              </w:rPr>
            </w:pPr>
            <w:r w:rsidRPr="00DA3342">
              <w:rPr>
                <w:color w:val="auto"/>
              </w:rPr>
              <w:t>HO444</w:t>
            </w:r>
          </w:p>
        </w:tc>
        <w:tc>
          <w:tcPr>
            <w:tcW w:w="1523" w:type="dxa"/>
          </w:tcPr>
          <w:p w14:paraId="01093B16" w14:textId="04D19988" w:rsidR="009A4561" w:rsidRPr="00DA3342" w:rsidRDefault="009A4561" w:rsidP="00DE17C1">
            <w:pPr>
              <w:pStyle w:val="Tabletext"/>
              <w:rPr>
                <w:color w:val="auto"/>
              </w:rPr>
            </w:pPr>
          </w:p>
        </w:tc>
      </w:tr>
    </w:tbl>
    <w:p w14:paraId="0E80F250" w14:textId="77777777" w:rsidR="00322595" w:rsidRDefault="00322595" w:rsidP="00A15C2E"/>
    <w:sectPr w:rsidR="0032259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430AB" w14:textId="77777777" w:rsidR="00851804" w:rsidRDefault="00851804" w:rsidP="007E77A2">
      <w:pPr>
        <w:spacing w:before="0" w:after="0" w:line="240" w:lineRule="auto"/>
      </w:pPr>
      <w:r>
        <w:separator/>
      </w:r>
    </w:p>
  </w:endnote>
  <w:endnote w:type="continuationSeparator" w:id="0">
    <w:p w14:paraId="2234F290" w14:textId="77777777" w:rsidR="00851804" w:rsidRDefault="00851804" w:rsidP="007E77A2">
      <w:pPr>
        <w:spacing w:before="0" w:after="0" w:line="240" w:lineRule="auto"/>
      </w:pPr>
      <w:r>
        <w:continuationSeparator/>
      </w:r>
    </w:p>
  </w:endnote>
  <w:endnote w:type="continuationNotice" w:id="1">
    <w:p w14:paraId="0F590D8E" w14:textId="77777777" w:rsidR="00851804" w:rsidRDefault="0085180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AB88" w14:textId="3131EBF2" w:rsidR="00A46FEF" w:rsidRDefault="0087341D">
    <w:pPr>
      <w:pStyle w:val="Footer"/>
    </w:pPr>
    <w:r>
      <w:rPr>
        <w:noProof/>
        <w14:ligatures w14:val="standardContextual"/>
      </w:rPr>
      <mc:AlternateContent>
        <mc:Choice Requires="wps">
          <w:drawing>
            <wp:anchor distT="0" distB="0" distL="114300" distR="114300" simplePos="0" relativeHeight="251658240" behindDoc="0" locked="0" layoutInCell="0" allowOverlap="1" wp14:anchorId="63356081" wp14:editId="529BE169">
              <wp:simplePos x="0" y="0"/>
              <wp:positionH relativeFrom="page">
                <wp:posOffset>0</wp:posOffset>
              </wp:positionH>
              <wp:positionV relativeFrom="page">
                <wp:posOffset>10227945</wp:posOffset>
              </wp:positionV>
              <wp:extent cx="7560310" cy="273050"/>
              <wp:effectExtent l="0" t="0" r="0" b="12700"/>
              <wp:wrapNone/>
              <wp:docPr id="3" name="Text Box 3" descr="{&quot;HashCode&quot;:9084395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B0CA1" w14:textId="7D18959E" w:rsidR="0087341D" w:rsidRPr="0087341D" w:rsidRDefault="0087341D" w:rsidP="0087341D">
                          <w:pPr>
                            <w:spacing w:before="0"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356081" id="_x0000_t202" coordsize="21600,21600" o:spt="202" path="m,l,21600r21600,l21600,xe">
              <v:stroke joinstyle="miter"/>
              <v:path gradientshapeok="t" o:connecttype="rect"/>
            </v:shapetype>
            <v:shape id="Text Box 3" o:spid="_x0000_s1026" type="#_x0000_t202" alt="{&quot;HashCode&quot;:90843954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B3B0CA1" w14:textId="7D18959E" w:rsidR="0087341D" w:rsidRPr="0087341D" w:rsidRDefault="0087341D" w:rsidP="0087341D">
                    <w:pPr>
                      <w:spacing w:before="0" w:after="0"/>
                      <w:jc w:val="center"/>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A221" w14:textId="77777777" w:rsidR="00851804" w:rsidRDefault="00851804" w:rsidP="007E77A2">
      <w:pPr>
        <w:spacing w:before="0" w:after="0" w:line="240" w:lineRule="auto"/>
      </w:pPr>
      <w:r>
        <w:separator/>
      </w:r>
    </w:p>
  </w:footnote>
  <w:footnote w:type="continuationSeparator" w:id="0">
    <w:p w14:paraId="6377E3E1" w14:textId="77777777" w:rsidR="00851804" w:rsidRDefault="00851804" w:rsidP="007E77A2">
      <w:pPr>
        <w:spacing w:before="0" w:after="0" w:line="240" w:lineRule="auto"/>
      </w:pPr>
      <w:r>
        <w:continuationSeparator/>
      </w:r>
    </w:p>
  </w:footnote>
  <w:footnote w:type="continuationNotice" w:id="1">
    <w:p w14:paraId="5FA1CC89" w14:textId="77777777" w:rsidR="00851804" w:rsidRDefault="0085180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DCA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A622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E02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1A09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76F8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EB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24B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A8D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AAE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BC3F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E4865"/>
    <w:multiLevelType w:val="hybridMultilevel"/>
    <w:tmpl w:val="01B4D6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FA65CE"/>
    <w:multiLevelType w:val="hybridMultilevel"/>
    <w:tmpl w:val="DD941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8C2B0E"/>
    <w:multiLevelType w:val="hybridMultilevel"/>
    <w:tmpl w:val="B5088D3A"/>
    <w:lvl w:ilvl="0" w:tplc="0C090005">
      <w:start w:val="1"/>
      <w:numFmt w:val="bullet"/>
      <w:lvlText w:val=""/>
      <w:lvlJc w:val="left"/>
      <w:pPr>
        <w:ind w:left="792" w:hanging="360"/>
      </w:pPr>
      <w:rPr>
        <w:rFonts w:ascii="Wingdings" w:hAnsi="Wingdings" w:hint="default"/>
      </w:rPr>
    </w:lvl>
    <w:lvl w:ilvl="1" w:tplc="0C090003" w:tentative="1">
      <w:start w:val="1"/>
      <w:numFmt w:val="bullet"/>
      <w:lvlText w:val="o"/>
      <w:lvlJc w:val="left"/>
      <w:pPr>
        <w:ind w:left="1512" w:hanging="360"/>
      </w:pPr>
      <w:rPr>
        <w:rFonts w:ascii="Courier New" w:hAnsi="Courier New" w:cs="Courier New" w:hint="default"/>
      </w:rPr>
    </w:lvl>
    <w:lvl w:ilvl="2" w:tplc="0C090005">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3" w15:restartNumberingAfterBreak="0">
    <w:nsid w:val="111222EA"/>
    <w:multiLevelType w:val="hybridMultilevel"/>
    <w:tmpl w:val="6C30D0CE"/>
    <w:lvl w:ilvl="0" w:tplc="0A5A9AF4">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8D6721"/>
    <w:multiLevelType w:val="hybridMultilevel"/>
    <w:tmpl w:val="CB4833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B41900"/>
    <w:multiLevelType w:val="hybridMultilevel"/>
    <w:tmpl w:val="AA089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097E3F"/>
    <w:multiLevelType w:val="hybridMultilevel"/>
    <w:tmpl w:val="02A24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54226B"/>
    <w:multiLevelType w:val="hybridMultilevel"/>
    <w:tmpl w:val="5172F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2373C9"/>
    <w:multiLevelType w:val="hybridMultilevel"/>
    <w:tmpl w:val="6E86ABA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35DC662D"/>
    <w:multiLevelType w:val="hybridMultilevel"/>
    <w:tmpl w:val="272AB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E07BA7"/>
    <w:multiLevelType w:val="hybridMultilevel"/>
    <w:tmpl w:val="3D927BCA"/>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DC1333D"/>
    <w:multiLevelType w:val="hybridMultilevel"/>
    <w:tmpl w:val="BB2C0D7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2" w15:restartNumberingAfterBreak="0">
    <w:nsid w:val="51113724"/>
    <w:multiLevelType w:val="hybridMultilevel"/>
    <w:tmpl w:val="17E4D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9B00FF"/>
    <w:multiLevelType w:val="hybridMultilevel"/>
    <w:tmpl w:val="EA1818BE"/>
    <w:lvl w:ilvl="0" w:tplc="FFFFFFFF">
      <w:start w:val="1"/>
      <w:numFmt w:val="bullet"/>
      <w:lvlText w:val=""/>
      <w:lvlJc w:val="left"/>
      <w:pPr>
        <w:ind w:left="360" w:hanging="360"/>
      </w:pPr>
      <w:rPr>
        <w:rFonts w:ascii="Symbol" w:hAnsi="Symbol" w:hint="default"/>
      </w:rPr>
    </w:lvl>
    <w:lvl w:ilvl="1" w:tplc="A874F610">
      <w:start w:val="1"/>
      <w:numFmt w:val="bullet"/>
      <w:pStyle w:val="Bullet2"/>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80B6276"/>
    <w:multiLevelType w:val="hybridMultilevel"/>
    <w:tmpl w:val="1188E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8F50D8"/>
    <w:multiLevelType w:val="hybridMultilevel"/>
    <w:tmpl w:val="5BE847FA"/>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E8D02B0"/>
    <w:multiLevelType w:val="hybridMultilevel"/>
    <w:tmpl w:val="B3F68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D93E09"/>
    <w:multiLevelType w:val="hybridMultilevel"/>
    <w:tmpl w:val="361AE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81A50A6"/>
    <w:multiLevelType w:val="hybridMultilevel"/>
    <w:tmpl w:val="DFF68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95503C"/>
    <w:multiLevelType w:val="hybridMultilevel"/>
    <w:tmpl w:val="870C4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A429CC"/>
    <w:multiLevelType w:val="hybridMultilevel"/>
    <w:tmpl w:val="7FB4B352"/>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79366378">
    <w:abstractNumId w:val="13"/>
  </w:num>
  <w:num w:numId="2" w16cid:durableId="96874862">
    <w:abstractNumId w:val="20"/>
  </w:num>
  <w:num w:numId="3" w16cid:durableId="524758349">
    <w:abstractNumId w:val="30"/>
  </w:num>
  <w:num w:numId="4" w16cid:durableId="1983775289">
    <w:abstractNumId w:val="23"/>
  </w:num>
  <w:num w:numId="5" w16cid:durableId="419375663">
    <w:abstractNumId w:val="28"/>
  </w:num>
  <w:num w:numId="6" w16cid:durableId="1025134009">
    <w:abstractNumId w:val="14"/>
  </w:num>
  <w:num w:numId="7" w16cid:durableId="189953162">
    <w:abstractNumId w:val="18"/>
  </w:num>
  <w:num w:numId="8" w16cid:durableId="550652215">
    <w:abstractNumId w:val="27"/>
  </w:num>
  <w:num w:numId="9" w16cid:durableId="1548058003">
    <w:abstractNumId w:val="13"/>
  </w:num>
  <w:num w:numId="10" w16cid:durableId="974483384">
    <w:abstractNumId w:val="23"/>
  </w:num>
  <w:num w:numId="11" w16cid:durableId="1617328023">
    <w:abstractNumId w:val="23"/>
  </w:num>
  <w:num w:numId="12" w16cid:durableId="915943837">
    <w:abstractNumId w:val="9"/>
  </w:num>
  <w:num w:numId="13" w16cid:durableId="1982347580">
    <w:abstractNumId w:val="7"/>
  </w:num>
  <w:num w:numId="14" w16cid:durableId="129397344">
    <w:abstractNumId w:val="6"/>
  </w:num>
  <w:num w:numId="15" w16cid:durableId="79177817">
    <w:abstractNumId w:val="5"/>
  </w:num>
  <w:num w:numId="16" w16cid:durableId="1594242771">
    <w:abstractNumId w:val="4"/>
  </w:num>
  <w:num w:numId="17" w16cid:durableId="1733767416">
    <w:abstractNumId w:val="8"/>
  </w:num>
  <w:num w:numId="18" w16cid:durableId="1911497575">
    <w:abstractNumId w:val="3"/>
  </w:num>
  <w:num w:numId="19" w16cid:durableId="483855495">
    <w:abstractNumId w:val="2"/>
  </w:num>
  <w:num w:numId="20" w16cid:durableId="1454985666">
    <w:abstractNumId w:val="1"/>
  </w:num>
  <w:num w:numId="21" w16cid:durableId="2078282781">
    <w:abstractNumId w:val="0"/>
  </w:num>
  <w:num w:numId="22" w16cid:durableId="111364006">
    <w:abstractNumId w:val="26"/>
  </w:num>
  <w:num w:numId="23" w16cid:durableId="1017077471">
    <w:abstractNumId w:val="22"/>
  </w:num>
  <w:num w:numId="24" w16cid:durableId="790443784">
    <w:abstractNumId w:val="25"/>
  </w:num>
  <w:num w:numId="25" w16cid:durableId="798451453">
    <w:abstractNumId w:val="21"/>
  </w:num>
  <w:num w:numId="26" w16cid:durableId="1409380777">
    <w:abstractNumId w:val="16"/>
  </w:num>
  <w:num w:numId="27" w16cid:durableId="1373074786">
    <w:abstractNumId w:val="11"/>
  </w:num>
  <w:num w:numId="28" w16cid:durableId="190072209">
    <w:abstractNumId w:val="15"/>
  </w:num>
  <w:num w:numId="29" w16cid:durableId="225800837">
    <w:abstractNumId w:val="19"/>
  </w:num>
  <w:num w:numId="30" w16cid:durableId="1151557707">
    <w:abstractNumId w:val="24"/>
  </w:num>
  <w:num w:numId="31" w16cid:durableId="1738476610">
    <w:abstractNumId w:val="29"/>
  </w:num>
  <w:num w:numId="32" w16cid:durableId="1272472263">
    <w:abstractNumId w:val="17"/>
  </w:num>
  <w:num w:numId="33" w16cid:durableId="1640964137">
    <w:abstractNumId w:val="12"/>
  </w:num>
  <w:num w:numId="34" w16cid:durableId="778522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34"/>
    <w:rsid w:val="0002265F"/>
    <w:rsid w:val="00023143"/>
    <w:rsid w:val="00024682"/>
    <w:rsid w:val="00026E6B"/>
    <w:rsid w:val="000302ED"/>
    <w:rsid w:val="000320DA"/>
    <w:rsid w:val="00035D66"/>
    <w:rsid w:val="00045F28"/>
    <w:rsid w:val="0005754D"/>
    <w:rsid w:val="00063A41"/>
    <w:rsid w:val="00075929"/>
    <w:rsid w:val="00080386"/>
    <w:rsid w:val="00085F5F"/>
    <w:rsid w:val="000918E2"/>
    <w:rsid w:val="000943D1"/>
    <w:rsid w:val="000A0254"/>
    <w:rsid w:val="000B34F9"/>
    <w:rsid w:val="000B5919"/>
    <w:rsid w:val="000D20F9"/>
    <w:rsid w:val="000D6388"/>
    <w:rsid w:val="00103956"/>
    <w:rsid w:val="00105B3B"/>
    <w:rsid w:val="00134D2E"/>
    <w:rsid w:val="00136004"/>
    <w:rsid w:val="00140AA2"/>
    <w:rsid w:val="00144ACE"/>
    <w:rsid w:val="00153070"/>
    <w:rsid w:val="001600F0"/>
    <w:rsid w:val="00165D94"/>
    <w:rsid w:val="001722CA"/>
    <w:rsid w:val="00173792"/>
    <w:rsid w:val="001975A1"/>
    <w:rsid w:val="001A026A"/>
    <w:rsid w:val="001A165D"/>
    <w:rsid w:val="001A3F33"/>
    <w:rsid w:val="001A6963"/>
    <w:rsid w:val="001B321F"/>
    <w:rsid w:val="001C42C1"/>
    <w:rsid w:val="001C66D7"/>
    <w:rsid w:val="001C6B71"/>
    <w:rsid w:val="001E0CAA"/>
    <w:rsid w:val="001E3A4D"/>
    <w:rsid w:val="001E583E"/>
    <w:rsid w:val="001F23C7"/>
    <w:rsid w:val="00200B39"/>
    <w:rsid w:val="00205569"/>
    <w:rsid w:val="00221B94"/>
    <w:rsid w:val="00224E35"/>
    <w:rsid w:val="00235465"/>
    <w:rsid w:val="00235D80"/>
    <w:rsid w:val="00244A55"/>
    <w:rsid w:val="002476A1"/>
    <w:rsid w:val="002506DB"/>
    <w:rsid w:val="00251D03"/>
    <w:rsid w:val="002672A4"/>
    <w:rsid w:val="002751FE"/>
    <w:rsid w:val="00281627"/>
    <w:rsid w:val="00287CE2"/>
    <w:rsid w:val="002939A7"/>
    <w:rsid w:val="00295702"/>
    <w:rsid w:val="002A0FE5"/>
    <w:rsid w:val="002A1E6F"/>
    <w:rsid w:val="002A5F84"/>
    <w:rsid w:val="002B063B"/>
    <w:rsid w:val="002B7EF6"/>
    <w:rsid w:val="002C4BCC"/>
    <w:rsid w:val="002D39C8"/>
    <w:rsid w:val="002E58E0"/>
    <w:rsid w:val="002F1023"/>
    <w:rsid w:val="002F7E5D"/>
    <w:rsid w:val="00302296"/>
    <w:rsid w:val="003059A2"/>
    <w:rsid w:val="00305A72"/>
    <w:rsid w:val="0031020B"/>
    <w:rsid w:val="00314342"/>
    <w:rsid w:val="0032143D"/>
    <w:rsid w:val="00322595"/>
    <w:rsid w:val="0032271C"/>
    <w:rsid w:val="003227E3"/>
    <w:rsid w:val="00322B48"/>
    <w:rsid w:val="003246B6"/>
    <w:rsid w:val="0034266F"/>
    <w:rsid w:val="00343230"/>
    <w:rsid w:val="003477ED"/>
    <w:rsid w:val="0035154A"/>
    <w:rsid w:val="0035557B"/>
    <w:rsid w:val="00356293"/>
    <w:rsid w:val="00357890"/>
    <w:rsid w:val="00370C3C"/>
    <w:rsid w:val="003878E1"/>
    <w:rsid w:val="003A2ECD"/>
    <w:rsid w:val="003A4991"/>
    <w:rsid w:val="003A4F87"/>
    <w:rsid w:val="003B53E7"/>
    <w:rsid w:val="003B721A"/>
    <w:rsid w:val="003C6321"/>
    <w:rsid w:val="003D44D7"/>
    <w:rsid w:val="003D5F47"/>
    <w:rsid w:val="003D621E"/>
    <w:rsid w:val="003E265B"/>
    <w:rsid w:val="003F1467"/>
    <w:rsid w:val="003F17BB"/>
    <w:rsid w:val="003F51C0"/>
    <w:rsid w:val="00404F5F"/>
    <w:rsid w:val="00407EBA"/>
    <w:rsid w:val="00411FE3"/>
    <w:rsid w:val="00412F97"/>
    <w:rsid w:val="00426E2F"/>
    <w:rsid w:val="0043163C"/>
    <w:rsid w:val="00435567"/>
    <w:rsid w:val="004439C1"/>
    <w:rsid w:val="00446AA8"/>
    <w:rsid w:val="00455E90"/>
    <w:rsid w:val="00460732"/>
    <w:rsid w:val="00462F41"/>
    <w:rsid w:val="0047028F"/>
    <w:rsid w:val="00473080"/>
    <w:rsid w:val="00474CC6"/>
    <w:rsid w:val="004843C6"/>
    <w:rsid w:val="00491E23"/>
    <w:rsid w:val="0049310F"/>
    <w:rsid w:val="004979DD"/>
    <w:rsid w:val="004A17B2"/>
    <w:rsid w:val="004B038C"/>
    <w:rsid w:val="004B2B22"/>
    <w:rsid w:val="004C6A6A"/>
    <w:rsid w:val="004C7766"/>
    <w:rsid w:val="004E7643"/>
    <w:rsid w:val="004F1571"/>
    <w:rsid w:val="004F3924"/>
    <w:rsid w:val="004F6804"/>
    <w:rsid w:val="005028F7"/>
    <w:rsid w:val="005058E0"/>
    <w:rsid w:val="005227F9"/>
    <w:rsid w:val="0053153B"/>
    <w:rsid w:val="00533A0B"/>
    <w:rsid w:val="00542448"/>
    <w:rsid w:val="00546F39"/>
    <w:rsid w:val="00547650"/>
    <w:rsid w:val="00551A97"/>
    <w:rsid w:val="00554958"/>
    <w:rsid w:val="005603B4"/>
    <w:rsid w:val="00570843"/>
    <w:rsid w:val="00574244"/>
    <w:rsid w:val="00577C55"/>
    <w:rsid w:val="00583742"/>
    <w:rsid w:val="00583C3E"/>
    <w:rsid w:val="005871BF"/>
    <w:rsid w:val="00594EA2"/>
    <w:rsid w:val="005B5584"/>
    <w:rsid w:val="005C5CB6"/>
    <w:rsid w:val="005C7CC6"/>
    <w:rsid w:val="005D43BF"/>
    <w:rsid w:val="005E5634"/>
    <w:rsid w:val="005E7AEC"/>
    <w:rsid w:val="005E7D6A"/>
    <w:rsid w:val="005F194D"/>
    <w:rsid w:val="005F3537"/>
    <w:rsid w:val="005F3E38"/>
    <w:rsid w:val="006015AC"/>
    <w:rsid w:val="00602444"/>
    <w:rsid w:val="0060785B"/>
    <w:rsid w:val="00612708"/>
    <w:rsid w:val="00621A77"/>
    <w:rsid w:val="0062788E"/>
    <w:rsid w:val="006633A0"/>
    <w:rsid w:val="00666632"/>
    <w:rsid w:val="00666C3C"/>
    <w:rsid w:val="00682370"/>
    <w:rsid w:val="00690095"/>
    <w:rsid w:val="006959D8"/>
    <w:rsid w:val="006A19B5"/>
    <w:rsid w:val="006A2182"/>
    <w:rsid w:val="006B3B36"/>
    <w:rsid w:val="006B483B"/>
    <w:rsid w:val="006B7405"/>
    <w:rsid w:val="006B7C36"/>
    <w:rsid w:val="006C471D"/>
    <w:rsid w:val="006D10AA"/>
    <w:rsid w:val="006D1A7A"/>
    <w:rsid w:val="006D5D34"/>
    <w:rsid w:val="006D7942"/>
    <w:rsid w:val="006E09F4"/>
    <w:rsid w:val="006E1C9F"/>
    <w:rsid w:val="006E3963"/>
    <w:rsid w:val="006F229C"/>
    <w:rsid w:val="006F28DB"/>
    <w:rsid w:val="00700E4B"/>
    <w:rsid w:val="00704E5D"/>
    <w:rsid w:val="00712931"/>
    <w:rsid w:val="00715E8B"/>
    <w:rsid w:val="00721A9D"/>
    <w:rsid w:val="00735E3F"/>
    <w:rsid w:val="00741ECC"/>
    <w:rsid w:val="007431DD"/>
    <w:rsid w:val="00772C5F"/>
    <w:rsid w:val="00773528"/>
    <w:rsid w:val="00773E26"/>
    <w:rsid w:val="0078396C"/>
    <w:rsid w:val="0078493D"/>
    <w:rsid w:val="00793B3C"/>
    <w:rsid w:val="0079798C"/>
    <w:rsid w:val="007A3AF4"/>
    <w:rsid w:val="007B5E05"/>
    <w:rsid w:val="007B7D4F"/>
    <w:rsid w:val="007B7F19"/>
    <w:rsid w:val="007C0C0A"/>
    <w:rsid w:val="007C3B30"/>
    <w:rsid w:val="007C59D7"/>
    <w:rsid w:val="007D0137"/>
    <w:rsid w:val="007D73EE"/>
    <w:rsid w:val="007E498A"/>
    <w:rsid w:val="007E501A"/>
    <w:rsid w:val="007E6F44"/>
    <w:rsid w:val="007E72D0"/>
    <w:rsid w:val="007E77A2"/>
    <w:rsid w:val="007F482F"/>
    <w:rsid w:val="007F4CF5"/>
    <w:rsid w:val="00801F10"/>
    <w:rsid w:val="008036E1"/>
    <w:rsid w:val="008060E1"/>
    <w:rsid w:val="008070AC"/>
    <w:rsid w:val="0082519B"/>
    <w:rsid w:val="00844E4D"/>
    <w:rsid w:val="00844FDC"/>
    <w:rsid w:val="00851804"/>
    <w:rsid w:val="008615E7"/>
    <w:rsid w:val="008627A9"/>
    <w:rsid w:val="008662F3"/>
    <w:rsid w:val="0087341D"/>
    <w:rsid w:val="00882A6E"/>
    <w:rsid w:val="00884F1F"/>
    <w:rsid w:val="00891298"/>
    <w:rsid w:val="00891F75"/>
    <w:rsid w:val="008A5951"/>
    <w:rsid w:val="008A5E9D"/>
    <w:rsid w:val="008B2B41"/>
    <w:rsid w:val="008B43D6"/>
    <w:rsid w:val="008B5CD8"/>
    <w:rsid w:val="008C6522"/>
    <w:rsid w:val="008C6DDF"/>
    <w:rsid w:val="008D454B"/>
    <w:rsid w:val="008D4934"/>
    <w:rsid w:val="008E1C6E"/>
    <w:rsid w:val="009021D7"/>
    <w:rsid w:val="00906859"/>
    <w:rsid w:val="00913BF2"/>
    <w:rsid w:val="00914AD9"/>
    <w:rsid w:val="00935829"/>
    <w:rsid w:val="00937E3A"/>
    <w:rsid w:val="00946357"/>
    <w:rsid w:val="0095598C"/>
    <w:rsid w:val="00960FEA"/>
    <w:rsid w:val="00961E51"/>
    <w:rsid w:val="009670E8"/>
    <w:rsid w:val="00973FB1"/>
    <w:rsid w:val="00987026"/>
    <w:rsid w:val="00991D04"/>
    <w:rsid w:val="009A4561"/>
    <w:rsid w:val="009B20AB"/>
    <w:rsid w:val="009B52DF"/>
    <w:rsid w:val="009B6AB6"/>
    <w:rsid w:val="009D162E"/>
    <w:rsid w:val="009D2A81"/>
    <w:rsid w:val="009D5C5C"/>
    <w:rsid w:val="009E186C"/>
    <w:rsid w:val="009F074A"/>
    <w:rsid w:val="009F1201"/>
    <w:rsid w:val="009F1D72"/>
    <w:rsid w:val="009F7C82"/>
    <w:rsid w:val="00A0476F"/>
    <w:rsid w:val="00A07411"/>
    <w:rsid w:val="00A15C2E"/>
    <w:rsid w:val="00A1773A"/>
    <w:rsid w:val="00A22995"/>
    <w:rsid w:val="00A22CC0"/>
    <w:rsid w:val="00A24A2A"/>
    <w:rsid w:val="00A264CC"/>
    <w:rsid w:val="00A3110C"/>
    <w:rsid w:val="00A34A17"/>
    <w:rsid w:val="00A46FEF"/>
    <w:rsid w:val="00A51797"/>
    <w:rsid w:val="00A54068"/>
    <w:rsid w:val="00A63DB3"/>
    <w:rsid w:val="00A76E25"/>
    <w:rsid w:val="00A80AB5"/>
    <w:rsid w:val="00A81318"/>
    <w:rsid w:val="00A869DC"/>
    <w:rsid w:val="00A921C1"/>
    <w:rsid w:val="00AA35A0"/>
    <w:rsid w:val="00AB4FC0"/>
    <w:rsid w:val="00AB7296"/>
    <w:rsid w:val="00AC63EF"/>
    <w:rsid w:val="00AD05B8"/>
    <w:rsid w:val="00AD6161"/>
    <w:rsid w:val="00AF1B7E"/>
    <w:rsid w:val="00B14791"/>
    <w:rsid w:val="00B14A31"/>
    <w:rsid w:val="00B1745F"/>
    <w:rsid w:val="00B22172"/>
    <w:rsid w:val="00B32747"/>
    <w:rsid w:val="00B3637C"/>
    <w:rsid w:val="00B42457"/>
    <w:rsid w:val="00B47C07"/>
    <w:rsid w:val="00B47E64"/>
    <w:rsid w:val="00B52721"/>
    <w:rsid w:val="00B5427B"/>
    <w:rsid w:val="00B57117"/>
    <w:rsid w:val="00B6307D"/>
    <w:rsid w:val="00B73141"/>
    <w:rsid w:val="00B77D0F"/>
    <w:rsid w:val="00B8171B"/>
    <w:rsid w:val="00B8275C"/>
    <w:rsid w:val="00B85E56"/>
    <w:rsid w:val="00B923BD"/>
    <w:rsid w:val="00BA149F"/>
    <w:rsid w:val="00BA1D57"/>
    <w:rsid w:val="00BB245D"/>
    <w:rsid w:val="00BB3E6E"/>
    <w:rsid w:val="00BC667E"/>
    <w:rsid w:val="00BC78AF"/>
    <w:rsid w:val="00BF0059"/>
    <w:rsid w:val="00BF29F2"/>
    <w:rsid w:val="00BF7470"/>
    <w:rsid w:val="00C00392"/>
    <w:rsid w:val="00C036A4"/>
    <w:rsid w:val="00C06C96"/>
    <w:rsid w:val="00C21F42"/>
    <w:rsid w:val="00C26006"/>
    <w:rsid w:val="00C26A30"/>
    <w:rsid w:val="00C32874"/>
    <w:rsid w:val="00C32CEE"/>
    <w:rsid w:val="00C421CD"/>
    <w:rsid w:val="00C753B3"/>
    <w:rsid w:val="00C766F3"/>
    <w:rsid w:val="00C83E63"/>
    <w:rsid w:val="00C86D27"/>
    <w:rsid w:val="00C92152"/>
    <w:rsid w:val="00CA6CBC"/>
    <w:rsid w:val="00CA7489"/>
    <w:rsid w:val="00CA7B49"/>
    <w:rsid w:val="00CC1B18"/>
    <w:rsid w:val="00CD038B"/>
    <w:rsid w:val="00CD10E4"/>
    <w:rsid w:val="00CD4A44"/>
    <w:rsid w:val="00CE2316"/>
    <w:rsid w:val="00CE546C"/>
    <w:rsid w:val="00CE5A45"/>
    <w:rsid w:val="00D03EAC"/>
    <w:rsid w:val="00D10536"/>
    <w:rsid w:val="00D10B9E"/>
    <w:rsid w:val="00D23068"/>
    <w:rsid w:val="00D23B30"/>
    <w:rsid w:val="00D3008E"/>
    <w:rsid w:val="00D31183"/>
    <w:rsid w:val="00D32F51"/>
    <w:rsid w:val="00D35800"/>
    <w:rsid w:val="00D36941"/>
    <w:rsid w:val="00D37031"/>
    <w:rsid w:val="00D44442"/>
    <w:rsid w:val="00D53BA9"/>
    <w:rsid w:val="00D53E77"/>
    <w:rsid w:val="00D565F6"/>
    <w:rsid w:val="00D63709"/>
    <w:rsid w:val="00D656BC"/>
    <w:rsid w:val="00D66CCA"/>
    <w:rsid w:val="00D777B1"/>
    <w:rsid w:val="00D870C6"/>
    <w:rsid w:val="00D9040E"/>
    <w:rsid w:val="00D925CD"/>
    <w:rsid w:val="00D93726"/>
    <w:rsid w:val="00DA00D1"/>
    <w:rsid w:val="00DA3342"/>
    <w:rsid w:val="00DA4C04"/>
    <w:rsid w:val="00DA7ED4"/>
    <w:rsid w:val="00DB121E"/>
    <w:rsid w:val="00DB30BE"/>
    <w:rsid w:val="00DB62EF"/>
    <w:rsid w:val="00DB7A32"/>
    <w:rsid w:val="00DC16AD"/>
    <w:rsid w:val="00DE17C1"/>
    <w:rsid w:val="00DE66AA"/>
    <w:rsid w:val="00DE6DCB"/>
    <w:rsid w:val="00E023D7"/>
    <w:rsid w:val="00E02CB4"/>
    <w:rsid w:val="00E06B0A"/>
    <w:rsid w:val="00E1295A"/>
    <w:rsid w:val="00E12FB5"/>
    <w:rsid w:val="00E144D7"/>
    <w:rsid w:val="00E1471F"/>
    <w:rsid w:val="00E14B8E"/>
    <w:rsid w:val="00E2136D"/>
    <w:rsid w:val="00E23774"/>
    <w:rsid w:val="00E324A8"/>
    <w:rsid w:val="00E42B5A"/>
    <w:rsid w:val="00E4699A"/>
    <w:rsid w:val="00E47715"/>
    <w:rsid w:val="00E55E00"/>
    <w:rsid w:val="00E76C38"/>
    <w:rsid w:val="00E85079"/>
    <w:rsid w:val="00E8676F"/>
    <w:rsid w:val="00E92E98"/>
    <w:rsid w:val="00E93AF6"/>
    <w:rsid w:val="00E9744C"/>
    <w:rsid w:val="00EA0A2E"/>
    <w:rsid w:val="00EA3F7D"/>
    <w:rsid w:val="00EA42D7"/>
    <w:rsid w:val="00EB4A22"/>
    <w:rsid w:val="00EC32E5"/>
    <w:rsid w:val="00EC68C2"/>
    <w:rsid w:val="00ED2362"/>
    <w:rsid w:val="00ED45C5"/>
    <w:rsid w:val="00EF0155"/>
    <w:rsid w:val="00EF4C72"/>
    <w:rsid w:val="00F015C0"/>
    <w:rsid w:val="00F042B3"/>
    <w:rsid w:val="00F04E80"/>
    <w:rsid w:val="00F10990"/>
    <w:rsid w:val="00F14990"/>
    <w:rsid w:val="00F21572"/>
    <w:rsid w:val="00F23AD1"/>
    <w:rsid w:val="00F26618"/>
    <w:rsid w:val="00F3504B"/>
    <w:rsid w:val="00F42E75"/>
    <w:rsid w:val="00F43362"/>
    <w:rsid w:val="00F462AF"/>
    <w:rsid w:val="00F5446B"/>
    <w:rsid w:val="00F555AE"/>
    <w:rsid w:val="00F62666"/>
    <w:rsid w:val="00F6553A"/>
    <w:rsid w:val="00F7395F"/>
    <w:rsid w:val="00F741A5"/>
    <w:rsid w:val="00F804E0"/>
    <w:rsid w:val="00F93D87"/>
    <w:rsid w:val="00FB6BC7"/>
    <w:rsid w:val="00FC4EEC"/>
    <w:rsid w:val="00FC576F"/>
    <w:rsid w:val="00FE0A4E"/>
    <w:rsid w:val="00FE35C7"/>
    <w:rsid w:val="00FF610D"/>
    <w:rsid w:val="00FF73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DCD1"/>
  <w15:chartTrackingRefBased/>
  <w15:docId w15:val="{0B4A7000-4205-4116-B097-FCE0FA32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entury Gothic"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22"/>
    <w:pPr>
      <w:widowControl w:val="0"/>
      <w:autoSpaceDE w:val="0"/>
      <w:autoSpaceDN w:val="0"/>
      <w:spacing w:before="120" w:after="120"/>
    </w:pPr>
    <w:rPr>
      <w:rFonts w:ascii="Arial" w:hAnsi="Arial" w:cs="Century Gothic"/>
      <w:kern w:val="0"/>
      <w:sz w:val="24"/>
      <w:lang w:eastAsia="en-AU" w:bidi="en-AU"/>
      <w14:ligatures w14:val="none"/>
    </w:rPr>
  </w:style>
  <w:style w:type="paragraph" w:styleId="Heading1">
    <w:name w:val="heading 1"/>
    <w:basedOn w:val="Normal"/>
    <w:next w:val="Normal"/>
    <w:link w:val="Heading1Char"/>
    <w:uiPriority w:val="1"/>
    <w:qFormat/>
    <w:rsid w:val="00DB62EF"/>
    <w:pPr>
      <w:spacing w:before="240" w:after="240"/>
      <w:outlineLvl w:val="0"/>
    </w:pPr>
    <w:rPr>
      <w:b/>
      <w:bCs/>
      <w:sz w:val="36"/>
      <w:szCs w:val="28"/>
    </w:rPr>
  </w:style>
  <w:style w:type="paragraph" w:styleId="Heading2">
    <w:name w:val="heading 2"/>
    <w:basedOn w:val="Normal"/>
    <w:next w:val="Normal"/>
    <w:link w:val="Heading2Char"/>
    <w:uiPriority w:val="1"/>
    <w:unhideWhenUsed/>
    <w:qFormat/>
    <w:rsid w:val="007E77A2"/>
    <w:pPr>
      <w:spacing w:before="360" w:after="360"/>
      <w:outlineLvl w:val="1"/>
    </w:pPr>
    <w:rPr>
      <w:b/>
      <w:bCs/>
      <w:sz w:val="32"/>
    </w:rPr>
  </w:style>
  <w:style w:type="paragraph" w:styleId="Heading3">
    <w:name w:val="heading 3"/>
    <w:basedOn w:val="Normal"/>
    <w:next w:val="Normal"/>
    <w:link w:val="Heading3Char"/>
    <w:uiPriority w:val="1"/>
    <w:unhideWhenUsed/>
    <w:qFormat/>
    <w:rsid w:val="00DB62EF"/>
    <w:pPr>
      <w:spacing w:before="240"/>
      <w:outlineLvl w:val="2"/>
    </w:pPr>
    <w:rPr>
      <w:b/>
      <w:bCs/>
      <w:sz w:val="28"/>
    </w:rPr>
  </w:style>
  <w:style w:type="paragraph" w:styleId="Heading4">
    <w:name w:val="heading 4"/>
    <w:basedOn w:val="Heading3"/>
    <w:next w:val="Normal"/>
    <w:link w:val="Heading4Char"/>
    <w:uiPriority w:val="1"/>
    <w:unhideWhenUsed/>
    <w:qFormat/>
    <w:rsid w:val="00DB62EF"/>
    <w:pPr>
      <w:spacing w:before="120"/>
      <w:outlineLvl w:val="3"/>
    </w:pPr>
    <w:rPr>
      <w:bCs w:val="0"/>
      <w:iCs/>
      <w:sz w:val="26"/>
    </w:rPr>
  </w:style>
  <w:style w:type="paragraph" w:styleId="Heading5">
    <w:name w:val="heading 5"/>
    <w:basedOn w:val="Normal"/>
    <w:next w:val="Normal"/>
    <w:link w:val="Heading5Char"/>
    <w:uiPriority w:val="1"/>
    <w:rsid w:val="00DB62EF"/>
    <w:pPr>
      <w:keepNext/>
      <w:keepLines/>
      <w:outlineLvl w:val="4"/>
    </w:pPr>
    <w:rPr>
      <w:rFonts w:eastAsiaTheme="majorEastAsia" w:cstheme="majorBidi"/>
      <w:b/>
    </w:rPr>
  </w:style>
  <w:style w:type="paragraph" w:styleId="Heading6">
    <w:name w:val="heading 6"/>
    <w:basedOn w:val="Normal"/>
    <w:next w:val="Normal"/>
    <w:link w:val="Heading6Char"/>
    <w:uiPriority w:val="1"/>
    <w:qFormat/>
    <w:rsid w:val="00F741A5"/>
    <w:pPr>
      <w:keepNext/>
      <w:keepLines/>
      <w:outlineLvl w:val="5"/>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741A5"/>
    <w:rPr>
      <w:rFonts w:ascii="Arial" w:hAnsi="Arial" w:cs="Century Gothic"/>
      <w:b/>
      <w:bCs/>
      <w:kern w:val="0"/>
      <w:sz w:val="36"/>
      <w:szCs w:val="28"/>
      <w:lang w:eastAsia="en-AU" w:bidi="en-AU"/>
      <w14:ligatures w14:val="none"/>
    </w:rPr>
  </w:style>
  <w:style w:type="paragraph" w:customStyle="1" w:styleId="Bullet2">
    <w:name w:val="Bullet 2"/>
    <w:basedOn w:val="Normal"/>
    <w:uiPriority w:val="4"/>
    <w:rsid w:val="00F741A5"/>
    <w:pPr>
      <w:numPr>
        <w:ilvl w:val="1"/>
        <w:numId w:val="4"/>
      </w:numPr>
    </w:pPr>
  </w:style>
  <w:style w:type="paragraph" w:styleId="Quote">
    <w:name w:val="Quote"/>
    <w:aliases w:val="ACT"/>
    <w:basedOn w:val="Normal"/>
    <w:next w:val="Normal"/>
    <w:link w:val="QuoteChar"/>
    <w:uiPriority w:val="29"/>
    <w:qFormat/>
    <w:rsid w:val="00F741A5"/>
    <w:rPr>
      <w:i/>
      <w:iCs/>
    </w:rPr>
  </w:style>
  <w:style w:type="character" w:customStyle="1" w:styleId="QuoteChar">
    <w:name w:val="Quote Char"/>
    <w:aliases w:val="ACT Char"/>
    <w:basedOn w:val="DefaultParagraphFont"/>
    <w:link w:val="Quote"/>
    <w:uiPriority w:val="29"/>
    <w:rsid w:val="00F741A5"/>
    <w:rPr>
      <w:rFonts w:ascii="Arial" w:hAnsi="Arial" w:cs="Century Gothic"/>
      <w:i/>
      <w:iCs/>
      <w:kern w:val="0"/>
      <w:sz w:val="24"/>
      <w:lang w:eastAsia="en-AU" w:bidi="en-AU"/>
      <w14:ligatures w14:val="none"/>
    </w:rPr>
  </w:style>
  <w:style w:type="character" w:customStyle="1" w:styleId="Heading2Char">
    <w:name w:val="Heading 2 Char"/>
    <w:basedOn w:val="DefaultParagraphFont"/>
    <w:link w:val="Heading2"/>
    <w:uiPriority w:val="1"/>
    <w:rsid w:val="007E77A2"/>
    <w:rPr>
      <w:rFonts w:ascii="Arial" w:hAnsi="Arial" w:cs="Century Gothic"/>
      <w:b/>
      <w:bCs/>
      <w:kern w:val="0"/>
      <w:sz w:val="32"/>
      <w:lang w:eastAsia="en-AU" w:bidi="en-AU"/>
      <w14:ligatures w14:val="none"/>
    </w:rPr>
  </w:style>
  <w:style w:type="character" w:customStyle="1" w:styleId="Heading3Char">
    <w:name w:val="Heading 3 Char"/>
    <w:basedOn w:val="DefaultParagraphFont"/>
    <w:link w:val="Heading3"/>
    <w:uiPriority w:val="1"/>
    <w:rsid w:val="00F741A5"/>
    <w:rPr>
      <w:rFonts w:ascii="Arial" w:hAnsi="Arial" w:cs="Century Gothic"/>
      <w:b/>
      <w:bCs/>
      <w:kern w:val="0"/>
      <w:sz w:val="28"/>
      <w:lang w:eastAsia="en-AU" w:bidi="en-AU"/>
      <w14:ligatures w14:val="none"/>
    </w:rPr>
  </w:style>
  <w:style w:type="character" w:styleId="Hyperlink">
    <w:name w:val="Hyperlink"/>
    <w:basedOn w:val="DefaultParagraphFont"/>
    <w:uiPriority w:val="99"/>
    <w:unhideWhenUsed/>
    <w:qFormat/>
    <w:rsid w:val="00F741A5"/>
    <w:rPr>
      <w:rFonts w:ascii="Arial" w:hAnsi="Arial"/>
      <w:color w:val="0563C1" w:themeColor="hyperlink"/>
      <w:sz w:val="24"/>
      <w:u w:val="single"/>
    </w:rPr>
  </w:style>
  <w:style w:type="character" w:styleId="UnresolvedMention">
    <w:name w:val="Unresolved Mention"/>
    <w:basedOn w:val="DefaultParagraphFont"/>
    <w:uiPriority w:val="99"/>
    <w:semiHidden/>
    <w:unhideWhenUsed/>
    <w:rsid w:val="00EA0A2E"/>
    <w:rPr>
      <w:color w:val="605E5C"/>
      <w:shd w:val="clear" w:color="auto" w:fill="E1DFDD"/>
    </w:rPr>
  </w:style>
  <w:style w:type="character" w:styleId="FollowedHyperlink">
    <w:name w:val="FollowedHyperlink"/>
    <w:basedOn w:val="DefaultParagraphFont"/>
    <w:uiPriority w:val="99"/>
    <w:semiHidden/>
    <w:unhideWhenUsed/>
    <w:rsid w:val="00B77D0F"/>
    <w:rPr>
      <w:color w:val="954F72" w:themeColor="followedHyperlink"/>
      <w:u w:val="single"/>
    </w:rPr>
  </w:style>
  <w:style w:type="character" w:styleId="CommentReference">
    <w:name w:val="annotation reference"/>
    <w:basedOn w:val="DefaultParagraphFont"/>
    <w:uiPriority w:val="99"/>
    <w:semiHidden/>
    <w:unhideWhenUsed/>
    <w:rsid w:val="00B77D0F"/>
    <w:rPr>
      <w:sz w:val="16"/>
      <w:szCs w:val="16"/>
    </w:rPr>
  </w:style>
  <w:style w:type="paragraph" w:styleId="CommentSubject">
    <w:name w:val="annotation subject"/>
    <w:basedOn w:val="Normal"/>
    <w:next w:val="Normal"/>
    <w:link w:val="CommentSubjectChar"/>
    <w:uiPriority w:val="99"/>
    <w:semiHidden/>
    <w:unhideWhenUsed/>
    <w:rsid w:val="00F741A5"/>
    <w:rPr>
      <w:b/>
      <w:bCs/>
      <w:sz w:val="20"/>
      <w:szCs w:val="20"/>
    </w:rPr>
  </w:style>
  <w:style w:type="character" w:customStyle="1" w:styleId="CommentSubjectChar">
    <w:name w:val="Comment Subject Char"/>
    <w:basedOn w:val="DefaultParagraphFont"/>
    <w:link w:val="CommentSubject"/>
    <w:uiPriority w:val="99"/>
    <w:semiHidden/>
    <w:rsid w:val="00F741A5"/>
    <w:rPr>
      <w:rFonts w:ascii="Arial" w:hAnsi="Arial" w:cs="Century Gothic"/>
      <w:b/>
      <w:bCs/>
      <w:kern w:val="0"/>
      <w:sz w:val="20"/>
      <w:szCs w:val="20"/>
      <w:lang w:eastAsia="en-AU" w:bidi="en-AU"/>
      <w14:ligatures w14:val="none"/>
    </w:rPr>
  </w:style>
  <w:style w:type="paragraph" w:styleId="ListParagraph">
    <w:name w:val="List Paragraph"/>
    <w:basedOn w:val="Normal"/>
    <w:uiPriority w:val="34"/>
    <w:semiHidden/>
    <w:rsid w:val="00E1471F"/>
    <w:pPr>
      <w:ind w:left="720"/>
      <w:contextualSpacing/>
    </w:pPr>
  </w:style>
  <w:style w:type="paragraph" w:customStyle="1" w:styleId="Bulletlist">
    <w:name w:val="Bullet list"/>
    <w:basedOn w:val="ListParagraph"/>
    <w:uiPriority w:val="3"/>
    <w:rsid w:val="00E1471F"/>
    <w:pPr>
      <w:numPr>
        <w:numId w:val="1"/>
      </w:numPr>
    </w:pPr>
  </w:style>
  <w:style w:type="character" w:customStyle="1" w:styleId="Heading4Char">
    <w:name w:val="Heading 4 Char"/>
    <w:basedOn w:val="DefaultParagraphFont"/>
    <w:link w:val="Heading4"/>
    <w:uiPriority w:val="1"/>
    <w:rsid w:val="00F741A5"/>
    <w:rPr>
      <w:rFonts w:ascii="Arial" w:hAnsi="Arial" w:cs="Century Gothic"/>
      <w:b/>
      <w:iCs/>
      <w:kern w:val="0"/>
      <w:sz w:val="26"/>
      <w:lang w:eastAsia="en-AU" w:bidi="en-AU"/>
      <w14:ligatures w14:val="none"/>
    </w:rPr>
  </w:style>
  <w:style w:type="paragraph" w:customStyle="1" w:styleId="Tableheader">
    <w:name w:val="Table header"/>
    <w:basedOn w:val="Normal"/>
    <w:uiPriority w:val="2"/>
    <w:rsid w:val="00DE17C1"/>
    <w:pPr>
      <w:widowControl/>
      <w:autoSpaceDE/>
      <w:autoSpaceDN/>
      <w:spacing w:before="60" w:after="60" w:line="240" w:lineRule="auto"/>
      <w:ind w:left="113"/>
    </w:pPr>
    <w:rPr>
      <w:rFonts w:eastAsia="Times New Roman" w:cs="Times New Roman"/>
      <w:b/>
      <w:sz w:val="22"/>
      <w:szCs w:val="20"/>
      <w:lang w:bidi="ar-SA"/>
    </w:rPr>
  </w:style>
  <w:style w:type="paragraph" w:customStyle="1" w:styleId="Tabletext">
    <w:name w:val="Table text"/>
    <w:uiPriority w:val="2"/>
    <w:rsid w:val="00DE17C1"/>
    <w:pPr>
      <w:spacing w:before="60" w:after="60" w:line="240" w:lineRule="auto"/>
    </w:pPr>
    <w:rPr>
      <w:rFonts w:ascii="Arial" w:eastAsia="Times New Roman" w:hAnsi="Arial" w:cs="Times New Roman"/>
      <w:color w:val="538135" w:themeColor="accent6" w:themeShade="BF"/>
      <w:kern w:val="0"/>
      <w:szCs w:val="20"/>
      <w:lang w:eastAsia="en-AU"/>
      <w14:ligatures w14:val="none"/>
    </w:rPr>
  </w:style>
  <w:style w:type="character" w:customStyle="1" w:styleId="Heading5Char">
    <w:name w:val="Heading 5 Char"/>
    <w:basedOn w:val="DefaultParagraphFont"/>
    <w:link w:val="Heading5"/>
    <w:uiPriority w:val="1"/>
    <w:rsid w:val="00F741A5"/>
    <w:rPr>
      <w:rFonts w:ascii="Arial" w:eastAsiaTheme="majorEastAsia" w:hAnsi="Arial" w:cstheme="majorBidi"/>
      <w:b/>
      <w:kern w:val="0"/>
      <w:sz w:val="24"/>
      <w:lang w:eastAsia="en-AU" w:bidi="en-AU"/>
      <w14:ligatures w14:val="none"/>
    </w:rPr>
  </w:style>
  <w:style w:type="character" w:customStyle="1" w:styleId="Heading6Char">
    <w:name w:val="Heading 6 Char"/>
    <w:basedOn w:val="DefaultParagraphFont"/>
    <w:link w:val="Heading6"/>
    <w:uiPriority w:val="1"/>
    <w:rsid w:val="00F741A5"/>
    <w:rPr>
      <w:rFonts w:ascii="Arial" w:eastAsiaTheme="majorEastAsia" w:hAnsi="Arial" w:cstheme="majorBidi"/>
      <w:b/>
      <w:i/>
      <w:kern w:val="0"/>
      <w:sz w:val="24"/>
      <w:lang w:eastAsia="en-AU" w:bidi="en-AU"/>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Century Gothic"/>
      <w:kern w:val="0"/>
      <w:sz w:val="20"/>
      <w:szCs w:val="20"/>
      <w:lang w:eastAsia="en-AU" w:bidi="en-AU"/>
      <w14:ligatures w14:val="none"/>
    </w:rPr>
  </w:style>
  <w:style w:type="paragraph" w:styleId="Revision">
    <w:name w:val="Revision"/>
    <w:hidden/>
    <w:uiPriority w:val="99"/>
    <w:semiHidden/>
    <w:rsid w:val="005E5634"/>
    <w:pPr>
      <w:spacing w:after="0" w:line="240" w:lineRule="auto"/>
    </w:pPr>
    <w:rPr>
      <w:rFonts w:ascii="Arial" w:hAnsi="Arial" w:cs="Century Gothic"/>
      <w:kern w:val="0"/>
      <w:sz w:val="24"/>
      <w:lang w:eastAsia="en-AU" w:bidi="en-AU"/>
      <w14:ligatures w14:val="none"/>
    </w:rPr>
  </w:style>
  <w:style w:type="paragraph" w:styleId="Header">
    <w:name w:val="header"/>
    <w:basedOn w:val="Normal"/>
    <w:link w:val="HeaderChar"/>
    <w:uiPriority w:val="99"/>
    <w:unhideWhenUsed/>
    <w:rsid w:val="00A46FE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46FEF"/>
    <w:rPr>
      <w:rFonts w:ascii="Arial" w:hAnsi="Arial" w:cs="Century Gothic"/>
      <w:kern w:val="0"/>
      <w:sz w:val="24"/>
      <w:lang w:eastAsia="en-AU" w:bidi="en-AU"/>
      <w14:ligatures w14:val="none"/>
    </w:rPr>
  </w:style>
  <w:style w:type="paragraph" w:styleId="Footer">
    <w:name w:val="footer"/>
    <w:basedOn w:val="Normal"/>
    <w:link w:val="FooterChar"/>
    <w:uiPriority w:val="99"/>
    <w:unhideWhenUsed/>
    <w:rsid w:val="00A46FE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46FEF"/>
    <w:rPr>
      <w:rFonts w:ascii="Arial" w:hAnsi="Arial" w:cs="Century Gothic"/>
      <w:kern w:val="0"/>
      <w:sz w:val="24"/>
      <w:lang w:eastAsia="en-AU" w:bidi="en-AU"/>
      <w14:ligatures w14:val="none"/>
    </w:rPr>
  </w:style>
  <w:style w:type="table" w:styleId="TableGrid">
    <w:name w:val="Table Grid"/>
    <w:basedOn w:val="TableNormal"/>
    <w:uiPriority w:val="39"/>
    <w:rsid w:val="00721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3000">
      <w:bodyDiv w:val="1"/>
      <w:marLeft w:val="0"/>
      <w:marRight w:val="0"/>
      <w:marTop w:val="0"/>
      <w:marBottom w:val="0"/>
      <w:divBdr>
        <w:top w:val="none" w:sz="0" w:space="0" w:color="auto"/>
        <w:left w:val="none" w:sz="0" w:space="0" w:color="auto"/>
        <w:bottom w:val="none" w:sz="0" w:space="0" w:color="auto"/>
        <w:right w:val="none" w:sz="0" w:space="0" w:color="auto"/>
      </w:divBdr>
    </w:div>
    <w:div w:id="1148325734">
      <w:bodyDiv w:val="1"/>
      <w:marLeft w:val="0"/>
      <w:marRight w:val="0"/>
      <w:marTop w:val="0"/>
      <w:marBottom w:val="0"/>
      <w:divBdr>
        <w:top w:val="none" w:sz="0" w:space="0" w:color="auto"/>
        <w:left w:val="none" w:sz="0" w:space="0" w:color="auto"/>
        <w:bottom w:val="none" w:sz="0" w:space="0" w:color="auto"/>
        <w:right w:val="none" w:sz="0" w:space="0" w:color="auto"/>
      </w:divBdr>
    </w:div>
    <w:div w:id="209770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lanning.vic.gov.au/public-insp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yarraranges.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l@yarraranges.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85\AppData\Local\Microsoft\Windows\INetCache\Content.Outlook\OHOGD967\Explanatory%20Report%20-%20Boroondara%20accessible%20version%20-%202023-09-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C8FF7309EBD42B2C8D32A463522E2" ma:contentTypeVersion="36" ma:contentTypeDescription="Create a new document." ma:contentTypeScope="" ma:versionID="808527d557d55092242dba7d110fa2dc">
  <xsd:schema xmlns:xsd="http://www.w3.org/2001/XMLSchema" xmlns:xs="http://www.w3.org/2001/XMLSchema" xmlns:p="http://schemas.microsoft.com/office/2006/metadata/properties" xmlns:ns2="a5f32de4-e402-4188-b034-e71ca7d22e54" xmlns:ns3="4bd58b96-cc7f-4c1b-801f-2bc3c6bd79dd" xmlns:ns4="9f250a92-4cb3-4475-b8ab-fbe3dd1bbf75" xmlns:ns5="9fd47c19-1c4a-4d7d-b342-c10cef269344" targetNamespace="http://schemas.microsoft.com/office/2006/metadata/properties" ma:root="true" ma:fieldsID="cbc5b083249a0922245b9b963983980c" ns2:_="" ns3:_="" ns4:_="" ns5:_="">
    <xsd:import namespace="a5f32de4-e402-4188-b034-e71ca7d22e54"/>
    <xsd:import namespace="4bd58b96-cc7f-4c1b-801f-2bc3c6bd79dd"/>
    <xsd:import namespace="9f250a92-4cb3-4475-b8ab-fbe3dd1bbf75"/>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Classification" minOccurs="0"/>
                <xsd:element ref="ns4:SharedWithUsers" minOccurs="0"/>
                <xsd:element ref="ns4:SharedWithDetail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lcf76f155ced4ddcb4097134ff3c332f" minOccurs="0"/>
                <xsd:element ref="ns5:TaxCatchAll" minOccurs="0"/>
                <xsd:element ref="ns3:MediaLengthInSeconds" minOccurs="0"/>
                <xsd:element ref="ns3:Category" minOccurs="0"/>
                <xsd:element ref="ns3:Uploadedby" minOccurs="0"/>
                <xsd:element ref="ns3:AmendmentStatus" minOccurs="0"/>
                <xsd:element ref="ns3:MediaServiceObjectDetectorVersions" minOccurs="0"/>
                <xsd:element ref="ns3:DocumentStatus" minOccurs="0"/>
                <xsd:element ref="ns3:MediaServiceSearchProperties" minOccurs="0"/>
                <xsd:element ref="ns3:AppH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d58b96-cc7f-4c1b-801f-2bc3c6bd7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Classification" ma:index="15" nillable="true" ma:displayName="Classification" ma:list="{5132af1a-d0a0-4524-926b-2351b7b1ccb3}" ma:internalName="Classification" ma:showField="Title">
      <xsd:simpleType>
        <xsd:restriction base="dms:Lookup"/>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Category" ma:index="29" nillable="true" ma:displayName="Category" ma:internalName="Category">
      <xsd:simpleType>
        <xsd:restriction base="dms:Text"/>
      </xsd:simpleType>
    </xsd:element>
    <xsd:element name="Uploadedby" ma:index="30" nillable="true" ma:displayName="Uploaded by" ma:internalName="Uploaded_x0020_by">
      <xsd:simpleType>
        <xsd:restriction base="dms:Text"/>
      </xsd:simpleType>
    </xsd:element>
    <xsd:element name="AmendmentStatus" ma:index="31" nillable="true" ma:displayName="Amendment Status" ma:internalName="Amendment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ocumentStatus" ma:index="33" nillable="true" ma:displayName="Document status" ma:list="{54465591-6100-4ef3-a3ba-50937698c9ce}" ma:internalName="DocumentStatus" ma:readOnly="false" ma:showField="Title">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AppHub" ma:index="35" nillable="true" ma:displayName="AppHub" ma:default="0" ma:description="Is visible on AppHub Y/N" ma:internalName="AppHu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50a92-4cb3-4475-b8ab-fbe3dd1bbf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aebf18f-e578-4598-b771-5b12d11488eb}" ma:internalName="TaxCatchAll" ma:showField="CatchAllData" ma:web="3348b8bb-97b8-4ba1-80ab-30fbf4669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797aeec6-0273-40f2-ab3e-beee73212332"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_dlc_DocId xmlns="a5f32de4-e402-4188-b034-e71ca7d22e54">DOCID359-1558401439-318</_dlc_DocId>
    <_dlc_DocIdUrl xmlns="a5f32de4-e402-4188-b034-e71ca7d22e54">
      <Url>https://delwpvicgovau.sharepoint.com/sites/ecm_359/_layouts/15/DocIdRedir.aspx?ID=DOCID359-1558401439-318</Url>
      <Description>DOCID359-1558401439-318</Description>
    </_dlc_DocIdUrl>
    <SharedWithUsers xmlns="9f250a92-4cb3-4475-b8ab-fbe3dd1bbf75">
      <UserInfo>
        <DisplayName>Enrico LoBianco (DEECA)</DisplayName>
        <AccountId>943</AccountId>
        <AccountType/>
      </UserInfo>
      <UserInfo>
        <DisplayName>Letitia J Neilson (DEECA)</DisplayName>
        <AccountId>1523</AccountId>
        <AccountType/>
      </UserInfo>
      <UserInfo>
        <DisplayName>Evangelia Moustogiannis (DEECA)</DisplayName>
        <AccountId>1217</AccountId>
        <AccountType/>
      </UserInfo>
    </SharedWithUsers>
    <lcf76f155ced4ddcb4097134ff3c332f xmlns="4bd58b96-cc7f-4c1b-801f-2bc3c6bd79dd">
      <Terms xmlns="http://schemas.microsoft.com/office/infopath/2007/PartnerControls"/>
    </lcf76f155ced4ddcb4097134ff3c332f>
    <Uploadedby xmlns="4bd58b96-cc7f-4c1b-801f-2bc3c6bd79dd">Kathy Baltas</Uploadedby>
    <AppHub xmlns="4bd58b96-cc7f-4c1b-801f-2bc3c6bd79dd">true</AppHub>
    <_Flow_SignoffStatus xmlns="4bd58b96-cc7f-4c1b-801f-2bc3c6bd79dd" xsi:nil="true"/>
    <AmendmentStatus xmlns="4bd58b96-cc7f-4c1b-801f-2bc3c6bd79dd">Awaiting Modification (Exhibition)</AmendmentStatus>
    <Classification xmlns="4bd58b96-cc7f-4c1b-801f-2bc3c6bd79dd">2</Classification>
    <DocumentStatus xmlns="4bd58b96-cc7f-4c1b-801f-2bc3c6bd79dd">2</DocumentStatus>
    <Category xmlns="4bd58b96-cc7f-4c1b-801f-2bc3c6bd79dd" xsi:nil="true"/>
  </documentManagement>
</p:properties>
</file>

<file path=customXml/itemProps1.xml><?xml version="1.0" encoding="utf-8"?>
<ds:datastoreItem xmlns:ds="http://schemas.openxmlformats.org/officeDocument/2006/customXml" ds:itemID="{D4DD4D6E-56D3-4A78-A0BA-4F4B0C6FA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bd58b96-cc7f-4c1b-801f-2bc3c6bd79dd"/>
    <ds:schemaRef ds:uri="9f250a92-4cb3-4475-b8ab-fbe3dd1bbf75"/>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22ABE-62C8-4BB1-BCA5-890E26F27FC1}">
  <ds:schemaRefs>
    <ds:schemaRef ds:uri="http://schemas.microsoft.com/sharepoint/v3/contenttype/forms"/>
  </ds:schemaRefs>
</ds:datastoreItem>
</file>

<file path=customXml/itemProps3.xml><?xml version="1.0" encoding="utf-8"?>
<ds:datastoreItem xmlns:ds="http://schemas.openxmlformats.org/officeDocument/2006/customXml" ds:itemID="{0F690EB2-FDD1-433B-A476-0AAE7FC01FFE}">
  <ds:schemaRefs>
    <ds:schemaRef ds:uri="http://schemas.microsoft.com/sharepoint/events"/>
  </ds:schemaRefs>
</ds:datastoreItem>
</file>

<file path=customXml/itemProps4.xml><?xml version="1.0" encoding="utf-8"?>
<ds:datastoreItem xmlns:ds="http://schemas.openxmlformats.org/officeDocument/2006/customXml" ds:itemID="{8EA771AA-1F1A-4FF2-84A5-6DD7D9C1AC4F}">
  <ds:schemaRefs>
    <ds:schemaRef ds:uri="Microsoft.SharePoint.Taxonomy.ContentTypeSync"/>
  </ds:schemaRefs>
</ds:datastoreItem>
</file>

<file path=customXml/itemProps5.xml><?xml version="1.0" encoding="utf-8"?>
<ds:datastoreItem xmlns:ds="http://schemas.openxmlformats.org/officeDocument/2006/customXml" ds:itemID="{7018DBC6-2EFE-4C7A-9F70-61EAA1B07713}">
  <ds:schemaRefs>
    <ds:schemaRef ds:uri="9f250a92-4cb3-4475-b8ab-fbe3dd1bbf75"/>
    <ds:schemaRef ds:uri="http://purl.org/dc/elements/1.1/"/>
    <ds:schemaRef ds:uri="9fd47c19-1c4a-4d7d-b342-c10cef269344"/>
    <ds:schemaRef ds:uri="http://schemas.microsoft.com/office/infopath/2007/PartnerControls"/>
    <ds:schemaRef ds:uri="4bd58b96-cc7f-4c1b-801f-2bc3c6bd79dd"/>
    <ds:schemaRef ds:uri="http://purl.org/dc/terms/"/>
    <ds:schemaRef ds:uri="a5f32de4-e402-4188-b034-e71ca7d22e54"/>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Explanatory Report - Boroondara accessible version - 2023-09-14.dotx</Template>
  <TotalTime>11</TotalTime>
  <Pages>9</Pages>
  <Words>2245</Words>
  <Characters>12800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Explanatory Report</vt:lpstr>
    </vt:vector>
  </TitlesOfParts>
  <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Report</dc:title>
  <dc:subject/>
  <dc:creator>Kathy Baltas</dc:creator>
  <cp:keywords/>
  <dc:description/>
  <cp:lastModifiedBy>Angela Chan (DTP)</cp:lastModifiedBy>
  <cp:revision>9</cp:revision>
  <dcterms:created xsi:type="dcterms:W3CDTF">2025-10-07T03:21:00Z</dcterms:created>
  <dcterms:modified xsi:type="dcterms:W3CDTF">2025-10-08T22:26:00Z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0x010100E13C8FF7309EBD42B2C8D32A463522E2</vt:lpwstr>
  </property>
  <property fmtid="{D5CDD505-2E9C-101B-9397-08002B2CF9AE}" pid="3" name="Records Class Project">
    <vt:lpwstr>49;#Reference Materials|f95fc07f-4085-41de-ae1e-da9e571af2f5</vt:lpwstr>
  </property>
  <property fmtid="{D5CDD505-2E9C-101B-9397-08002B2CF9AE}" pid="4" name="Department Document Type">
    <vt:lpwstr>54;#Instruction|bd959bd7-f47f-4272-85c0-fe4839e53559</vt:lpwstr>
  </property>
  <property fmtid="{D5CDD505-2E9C-101B-9397-08002B2CF9AE}" pid="5" name="Dissemination Limiting Marker">
    <vt:lpwstr>2;#FOUO|955eb6fc-b35a-4808-8aa5-31e514fa3f26</vt:lpwstr>
  </property>
  <property fmtid="{D5CDD505-2E9C-101B-9397-08002B2CF9AE}" pid="6" name="Security Classification">
    <vt:lpwstr>3;#Unclassified|7fa379f4-4aba-4692-ab80-7d39d3a23cf4</vt:lpwstr>
  </property>
  <property fmtid="{D5CDD505-2E9C-101B-9397-08002B2CF9AE}" pid="7" name="Record Purpose">
    <vt:lpwstr/>
  </property>
  <property fmtid="{D5CDD505-2E9C-101B-9397-08002B2CF9AE}" pid="8" name="_dlc_DocIdItemGuid">
    <vt:lpwstr>bc908136-1501-43fb-974d-d73ead64f662</vt:lpwstr>
  </property>
  <property fmtid="{D5CDD505-2E9C-101B-9397-08002B2CF9AE}" pid="9" name="Order">
    <vt:r8>31800</vt:r8>
  </property>
  <property fmtid="{D5CDD505-2E9C-101B-9397-08002B2CF9AE}" pid="10" name="MSIP_Label_b92b7feb-b287-442c-a072-f385b02ec972_Enabled">
    <vt:lpwstr>true</vt:lpwstr>
  </property>
  <property fmtid="{D5CDD505-2E9C-101B-9397-08002B2CF9AE}" pid="11" name="MSIP_Label_b92b7feb-b287-442c-a072-f385b02ec972_SetDate">
    <vt:lpwstr>2023-10-30T00:36:12Z</vt:lpwstr>
  </property>
  <property fmtid="{D5CDD505-2E9C-101B-9397-08002B2CF9AE}" pid="12" name="MSIP_Label_b92b7feb-b287-442c-a072-f385b02ec972_Method">
    <vt:lpwstr>Privileged</vt:lpwstr>
  </property>
  <property fmtid="{D5CDD505-2E9C-101B-9397-08002B2CF9AE}" pid="13" name="MSIP_Label_b92b7feb-b287-442c-a072-f385b02ec972_Name">
    <vt:lpwstr>Unofficial</vt:lpwstr>
  </property>
  <property fmtid="{D5CDD505-2E9C-101B-9397-08002B2CF9AE}" pid="14" name="MSIP_Label_b92b7feb-b287-442c-a072-f385b02ec972_SiteId">
    <vt:lpwstr>e8bdd6f7-fc18-4e48-a554-7f547927223b</vt:lpwstr>
  </property>
  <property fmtid="{D5CDD505-2E9C-101B-9397-08002B2CF9AE}" pid="15" name="MSIP_Label_b92b7feb-b287-442c-a072-f385b02ec972_ActionId">
    <vt:lpwstr>581aa655-7e21-4b0e-9caa-f5d04496c3d9</vt:lpwstr>
  </property>
  <property fmtid="{D5CDD505-2E9C-101B-9397-08002B2CF9AE}" pid="16" name="MSIP_Label_b92b7feb-b287-442c-a072-f385b02ec972_ContentBits">
    <vt:lpwstr>2</vt:lpwstr>
  </property>
  <property fmtid="{D5CDD505-2E9C-101B-9397-08002B2CF9AE}" pid="17" name="MediaServiceImageTags">
    <vt:lpwstr/>
  </property>
</Properties>
</file>